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8CB" w:rsidRPr="009838CB" w:rsidRDefault="009838CB" w:rsidP="009838CB">
      <w:pPr>
        <w:pBdr>
          <w:bottom w:val="single" w:sz="4" w:space="0" w:color="AAAAAA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 w:rsidRPr="009838CB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Dejiny geografie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Dejiny geografie</w: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ako jednej z najstarších vied vôbec siahajú ďaleko do histórie ľudstva. Zatiaľ čo mapy boli vyrábané a používané niekoľko tisícročí skôr (doklady sú o ich používaní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"https://sk.wikipedia.org/wiki/Sumeri" \o "Sumeri"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Sumermi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) prvou kultúrou, ktorá sa podujala na systematické a vedecké skúmanie Zeme boli až </w:t>
      </w:r>
      <w:hyperlink r:id="rId5" w:tooltip="Staroveké Grécko" w:history="1">
        <w:r w:rsidRPr="009838C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starovekí Gréci</w:t>
        </w:r>
      </w:hyperlink>
      <w:r w:rsidRPr="00983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Starovek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Významnými geografmi (vtedy vlastne ešte len filozofmi) v starovekom Grécku boli:</w:t>
      </w:r>
    </w:p>
    <w:p w:rsidR="009838CB" w:rsidRPr="009838CB" w:rsidRDefault="009838CB" w:rsidP="009838C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6" w:tooltip="Iónska škola (stránka neexistuje)" w:history="1">
        <w:r w:rsidRPr="009838CB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iónska škola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(6 stor. pred Kr. ;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"https://sk.wikipedia.org/wiki/T%C3%A1les" \o "Táles"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Táles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"https://sk.wikipedia.org/wiki/Anaximandros" \o "Anaximandros"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Anaximandros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 pod.): vysvetľovali rôzne prírodné javy, ako sú striedanie súše a mora, zemetrasenia, inundácie </w:t>
      </w:r>
      <w:hyperlink r:id="rId7" w:tooltip="Níl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Nílu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"https://sk.wikipedia.org/wiki/Eufrat" \o "Eufrat"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Eufratu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hyperlink r:id="rId8" w:tooltip="Tigris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Tigrisu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 iných vtedy známych riek.</w:t>
      </w:r>
    </w:p>
    <w:p w:rsidR="009838CB" w:rsidRPr="009838CB" w:rsidRDefault="009838CB" w:rsidP="009838C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9" w:tooltip="Aristoteles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Aristoteles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(384 – 322 pred Kr.): v jeho koncepciách sa začínajú objavovať vysvetlenia oblačnosti, cirkulácie vody a vzduchu</w:t>
      </w:r>
    </w:p>
    <w:p w:rsidR="009838CB" w:rsidRPr="009838CB" w:rsidRDefault="009838CB" w:rsidP="009838C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0" w:tooltip="Herodotos" w:history="1">
        <w:proofErr w:type="spellStart"/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Herodotos</w:t>
        </w:r>
        <w:proofErr w:type="spellEnd"/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(484 – 425 pred Kr.): „otec geografie“, prispel k názorom o zaokrúhlení Zeme a jej teplotných zónach</w:t>
      </w:r>
    </w:p>
    <w:p w:rsidR="009838CB" w:rsidRPr="009838CB" w:rsidRDefault="009838CB" w:rsidP="009838C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1" w:tooltip="Alexandrijská škola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alexandrijská škola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(okolo narodenia Krista;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"https://sk.wikipedia.org/wiki/Eratostenes" \o "Eratostenes"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Eratostenes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Hypparchos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): založili matematicko-astronomickú geografiu a kartografiu. Pomenovanie „geografia“ sa prvýkrát zjavuje u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Erastotena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 ktorý vypočítal prvý pomerne presný odhad veľkosti Zeme.</w:t>
      </w:r>
    </w:p>
    <w:p w:rsidR="009838CB" w:rsidRPr="009838CB" w:rsidRDefault="009838CB" w:rsidP="009838C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iní: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"https://sk.wikipedia.org/wiki/Theofrastos" \o "Theofrastos"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Theofrastos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"https://sk.wikipedia.org/wiki/Pytheas" \o "Pytheas"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Pytheas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"https://sk.wikipedia.org/w/index.php?title=Hekataios&amp;action=edit&amp;redlink=1" \o "Hekataios (stránka neexistuje)"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Hekataios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hyperlink r:id="rId12" w:tooltip="Hippokrates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Hippokrates</w:t>
        </w:r>
      </w:hyperlink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Vďaka gréckej kolonizácii Stredomoria a okolitých území vznikali mnohé opisy krajín (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periegesis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) a opisy pobreží a prístavov (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periplus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).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 </w:t>
      </w:r>
      <w:hyperlink r:id="rId13" w:tooltip="Staroveký Rím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starovekom Ríme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pribudli konkrétne vedomosti o krajinách. Geografické znalosti boli rozvíjané najmä čisto praktickými potrebami štátu pri objavovaní nových krajín. Taktiež došlo k výraznejšiemu rozvoju tvorby máp. Aj v Rímskej ríši boli najdôležitejšími geografmi Gréci.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"https://sk.wikipedia.org/wiki/Strab%C3%B3n" \o "Strabón"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Strabón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(* 63/4 pred Kr. – † 24 po Kr.) je známy svojim 17-zväzkovým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dielom</w:t>
      </w:r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Geographika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ktoré obsahuje zhrnutie vtedajšieho poznania sveta a je najvýznamnejším dielom z ktorého máme informácie o starovekej geografii. O 100 rokov po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Strabónovi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sa podobné dielo podujal vytvoriť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"https://sk.wikipedia.org/wiki/Ptolemaios" \o "Ptolemaios"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Ptolemaios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(* 90 po Kr. – † 168 po Kr.) s názvom 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Geographia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 kde opisuje veľké množstvo starovekých miest a rôznych kmeňov obývajúcich vtedajšie známe oblasti. Rimania sa tiež zaslúžili o rozšírenie používania geografických poznatkov a máp vo vtedajšej spoločnosti.</w:t>
      </w:r>
    </w:p>
    <w:p w:rsidR="009838CB" w:rsidRPr="009838CB" w:rsidRDefault="009838CB" w:rsidP="00864650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Včasný stredovek</w:t>
      </w:r>
      <w:r w:rsidR="00864650"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 Európe došlo v stredoveku k značnému úpadku vedeckého poznania. Geografické predstavy o Zemi boli primitívne. Zem vraj mala formu dosky, ktorá pláva na rozsiahlom oceáne. Na grécku tradíciu však nadviazali </w:t>
      </w:r>
      <w:hyperlink r:id="rId14" w:tooltip="Arabi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Arabi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Medzi významné postavy z tohto obdobia možno spomenúť mená ako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"https://sk.wikipedia.org/w/index.php?title=Al-Idr%C3%ADs%C3%AD&amp;action=edit&amp;redlink=1" \o "Al-Idrísí (stránka neexistuje)"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al-Idrísí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"https://sk.wikipedia.org/wiki/Ibn_Bat%C3%BAta" \o "Ibn Batúta"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Ibn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Batúta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"https://sk.wikipedia.org/w/index.php?title=Ibn_Khaldun&amp;action=edit&amp;redlink=1" \o "Ibn Khaldun (stránka neexistuje)"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Ibn</w:t>
      </w:r>
      <w:proofErr w:type="spellEnd"/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Khaldun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Arabská ríša sa vtedy rozprestierala od Maroka až po Indiu a arabskí kupci precestovali naprieč Áziou, Afrikou a Indickým oceánom, kde nazbierali množstvo poznatkov o týchto miestach.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 Európe geografia znovu ožila až v 12. až 14. stor., keď geografické poznatky rozšírili cestopisy W.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Rubruka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hyperlink r:id="rId15" w:tooltip="Marco Polo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Marca Pola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 iných.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15. až 17. storočie</w:t>
      </w:r>
    </w:p>
    <w:p w:rsidR="009838CB" w:rsidRPr="009838CB" w:rsidRDefault="009838CB" w:rsidP="009838CB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noProof/>
          <w:color w:val="0B0080"/>
          <w:sz w:val="24"/>
          <w:szCs w:val="24"/>
        </w:rPr>
        <w:drawing>
          <wp:inline distT="0" distB="0" distL="0" distR="0">
            <wp:extent cx="2380615" cy="1795780"/>
            <wp:effectExtent l="19050" t="0" r="635" b="0"/>
            <wp:docPr id="3" name="Obrázok 3" descr="https://upload.wikimedia.org/wikipedia/commons/thumb/9/95/Columbus_Taking_Possession.jpg/250px-Columbus_Taking_Possession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5/Columbus_Taking_Possession.jpg/250px-Columbus_Taking_Possession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CB" w:rsidRPr="009838CB" w:rsidRDefault="009838CB" w:rsidP="009838CB">
      <w:pPr>
        <w:shd w:val="clear" w:color="auto" w:fill="F9F9F9"/>
        <w:spacing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Krištof Kolumbus pri objavovaní Ameriky roku 1492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 xml:space="preserve">Na značné zlepšenie poznatkov o Zemi v 15. a 16. stor. mali veľký vplyv objavné cesty 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moreplavby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8" w:tooltip="Krištof Kolumbus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Krištofa Kolumba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"https://sk.wikipedia.org/wiki/Fernando_Magalhaes" \o "Fernando Magalhaes"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Fernanda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Magalhaesa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"https://sk.wikipedia.org/wiki/Vasco_da_Gama" \o "Vasco da Gama"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Vasco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da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Gamu</w: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ktoré priniesli nové poznatky o rozľahlých oceánoch, vzdialených krajinách a ich prírodných bohatstvách. Vo viacerých európskych štátoch vyšli i nové vydania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Ptolemaiovej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Geografie</w: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s príslušnými doplnkami a vypracovali sa viaceré „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kozmografie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" (opisy Zeme), nadväzujúce na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Strabóna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Ptolemaia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U nás prvým dielom tohto druhu je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Kozmographia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czezka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z r. 1554 od </w:t>
      </w:r>
      <w:hyperlink r:id="rId19" w:tooltip="Ján z Púchova (stránka neexistuje)" w:history="1">
        <w:r w:rsidRPr="009838CB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Jána z Púchova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v Nemecku napr. M.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Waldseemüller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P.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Apianus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S.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Münster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J.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Cochläus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Kým spočiatku ešte prevažovali zmienky senzácií, pomaly začali prevažovať pozorovania prírody a kultúrnych odlišností. Boli zostavené prvé geografické </w:t>
      </w:r>
      <w:hyperlink r:id="rId20" w:tooltip="Atlas (súbor máp)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atlasy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Na ďalších objaviteľských plavbách sa postupne získavali vedomosti o oceánoch, stálych pasátoch a morských prúdoch. Vnútrozemie vzdialených kontinentov bolo však v 16. stor. ešte nepreskúmané.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Vedecké spracovanie zozbieraných geografických faktov sa začalo v 17. stor. Už roku 1610 zverejnil von B.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Keckermann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(1571/1573 – 1608) sústavu všeobecnej geografie. Prvým väčším geografickým dielom v 17. stor. bola 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Geographia</w:t>
      </w:r>
      <w:proofErr w:type="spellEnd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genenalis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(1650), v ktorej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"https://sk.wikipedia.org/wiki/Bernhardus_Varenius" \o "Bernhardus Varenius"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Bernhardus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Varenius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(1622 – 1650) opísal zvláštnosti pevniny, </w:t>
      </w:r>
      <w:hyperlink r:id="rId21" w:tooltip="Hydrosféra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hydrosféry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 </w:t>
      </w:r>
      <w:hyperlink r:id="rId22" w:tooltip="Armosféra (stránka neexistuje)" w:history="1">
        <w:r w:rsidRPr="009838CB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atmosféry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18. a 19. storočie</w:t>
      </w:r>
    </w:p>
    <w:p w:rsidR="009838CB" w:rsidRPr="009838CB" w:rsidRDefault="009838CB" w:rsidP="009838CB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noProof/>
          <w:color w:val="0B0080"/>
          <w:sz w:val="24"/>
          <w:szCs w:val="24"/>
        </w:rPr>
        <w:drawing>
          <wp:inline distT="0" distB="0" distL="0" distR="0">
            <wp:extent cx="1713230" cy="2314575"/>
            <wp:effectExtent l="19050" t="0" r="1270" b="0"/>
            <wp:docPr id="4" name="Obrázok 4" descr="https://upload.wikimedia.org/wikipedia/commons/thumb/6/68/Humboldt.jpg/180px-Humboldt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6/68/Humboldt.jpg/180px-Humboldt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CB" w:rsidRPr="009838CB" w:rsidRDefault="009838CB" w:rsidP="009838CB">
      <w:pPr>
        <w:shd w:val="clear" w:color="auto" w:fill="F9F9F9"/>
        <w:spacing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5" w:tooltip="Alexander von Humboldt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 xml:space="preserve">Alexander von </w:t>
        </w:r>
        <w:proofErr w:type="spellStart"/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Humboldt</w:t>
        </w:r>
        <w:proofErr w:type="spellEnd"/>
      </w:hyperlink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Za obdobie etablovania sa geografie ako modernej vedy možno považovať 18.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stor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až prvú polovicu 19. stor. Geografia sa stáva jedným zo základných predmetov vtedajšieho univerzitného vzdelania. Na vývoj geografického myslenia mali v tomto období vplyv dve významné postavy, nemeckí geografi </w:t>
      </w:r>
      <w:hyperlink r:id="rId26" w:tooltip="Alexander von Humboldt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 xml:space="preserve">Alexander von </w:t>
        </w:r>
        <w:proofErr w:type="spellStart"/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Humboldt</w:t>
        </w:r>
        <w:proofErr w:type="spellEnd"/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(1769 – 1859) a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"https://sk.wikipedia.org/wiki/Carl_Ritter" \o "Carl Ritter"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Carl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Ritter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(1789 – 1849).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Humboldt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vo svojom diele 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Kosmos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podal prvú syntézu nahromadených poznatkov o Zemi, zameranú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najmá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na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fytogeograficko-klimatologickú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časť geografie.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Carl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Ritter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naopak venoval pozornosť vplyvu prírodných podmienok na osídlenie Zeme.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Čo sa týka geografických objavov bola preskúmaná Austrália a Oceánia moreplavcami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"https://sk.wikipedia.org/wiki/James_Cook" \o "James Cook"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Jamesom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Cookom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 </w:t>
      </w:r>
      <w:hyperlink r:id="rId27" w:tooltip="Ábel Tasman (stránka neexistuje)" w:history="1">
        <w:r w:rsidRPr="009838CB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 xml:space="preserve">Ábelom </w:t>
        </w:r>
        <w:proofErr w:type="spellStart"/>
        <w:r w:rsidRPr="009838CB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Tasmanom</w:t>
        </w:r>
        <w:proofErr w:type="spellEnd"/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Na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"https://sk.wikipedia.org/wiki/Slovensko" \o "Slovensko"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Slovensku</w: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bol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významným geografom 18. stor. </w:t>
      </w:r>
      <w:hyperlink r:id="rId28" w:tooltip="Matej Bel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 xml:space="preserve">Matej </w:t>
        </w:r>
        <w:proofErr w:type="spellStart"/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Bel</w:t>
        </w:r>
        <w:proofErr w:type="spellEnd"/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Environmentálny determinizmu</w:t>
      </w:r>
      <w:r w:rsidR="002B385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Druhá polovica 19.storočia až začiatok 20.storočia je nazývaná aj obdobím environmentálneho determinizmu, kedy sa aspekty spoločnosti zvykli vysvetľovať vplyvom prírodného prostredia. Okrem Carla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Rittera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boli v tomto období dôležitými postavami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Ellsworth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Huntington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Ellen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Churchill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Semple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"https://sk.wikipedia.org/w/index.php?title=Friedrich_Ratzel&amp;action=edit&amp;redlink=1" \o "Friedrich Ratzel (stránka neexistuje)"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Friedrich</w:t>
      </w:r>
      <w:proofErr w:type="spellEnd"/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Ratzel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(1844 – 1904), ktorý v tomto období pôsobil, je tiež známy svojou teóriou štátu ako žijúceho organizmu. Nepovažuje sa však za environmentálneho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deterministu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 skôr za jeho kritika. Populárnymi hypotézami v tomto období boli napr.: „tropická klíma robí ľudí v tejto oblasti lenivými a neustále zmeny klímy v oblasti mierneho pásma vedú k zlepšeniu intelektuálnych vlastností jeho obyvateľov“. Takéto názory viedli k povyšovaniu sa nad iné kultúry a k podpore rasizmu a imperializmu, čo napokon viedlo ku kritike environmentálneho determinizmu.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 19. storočí došlo aj k rozdeleniu (fyzickej) geografie na jednotlivé oblasti s vlastnými metodikami, z ktorých sa potom vyvinuli samostatné vedy (napr. geofyzika, meteorológia).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Regionálna geografia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Koniec 19.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stor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prvá polovica 20.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stor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je obdobím regionálnej geografie. Už v predchádzajúcom období niektoré geografi (E.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Reclus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P. P.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Semenov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D. N.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Anučin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i.) začali tvoriť syntetické zhrnutia geografických bádaní.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Chorologické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názory na geografiu (opisy lokalít, regiónov) najpodrobnejšie rozvinul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"https://sk.wikipedia.org/w/index.php?title=Alfred_Hettner&amp;action=edit&amp;redlink=1" \o "Alfred Hettner (stránka neexistuje)"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Alfred</w:t>
      </w:r>
      <w:proofErr w:type="spellEnd"/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A55858"/>
          <w:sz w:val="24"/>
          <w:szCs w:val="24"/>
          <w:u w:val="single"/>
        </w:rPr>
        <w:t>Hettner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(1859 – 1941). Charakteristikami regiónov sa zaoberali taktiež francúzsky geograf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Vidal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de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La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Blache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jeho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následovníci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Názory o prírodných územných celkoch vypracovali ruskí geografi V. V.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Dokučajev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A. I.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Vojejkov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G. I.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Vysockij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L. S.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Berg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 nemecký geograf Z.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Passarge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 ktorý vypracoval ich klasifikáciu. Regionálni geografi sa zameriavali na zber opisných informácií o rôznych miestach na Zemi ako aj delením povrchu Zeme na regióny.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Silný vplyv regionálnej geografie pretrval až do polovice 20-ho storočia, kedy R.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Hartshorne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v </w:t>
      </w:r>
      <w:hyperlink r:id="rId29" w:tooltip="Spojené štáty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USA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vo svojej knihe 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The</w:t>
      </w:r>
      <w:proofErr w:type="spellEnd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nature</w:t>
      </w:r>
      <w:proofErr w:type="spellEnd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of</w:t>
      </w:r>
      <w:proofErr w:type="spellEnd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geography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(1939) zadefinoval geografiu ako vedu, ktorá sa zaoberá hľadaním rozdielov medzi regiónmi,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lokáciami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(tzv. study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of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areal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differenciation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) alebo hľadanie jedinečností. Tento prístup bol následne nato kritizovaný (hlavne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Schaeferom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) ako nevedecký vzhľadom na to, že veda by mala hľadať a definovať zákony, overovať hypotézy a formulovať teórie, teda hľadať zákonitosti, ktoré sú všeobecne platné. Geografia bola takmer čisto popisnou vedou, s málo rozvinutým teoretickým a metodologickým aparátom. Taktiež bola vedou bez nejakého výraznejšieho praktického uplatnenia, čo v porovnaní s inými vedeckými disciplínami bolo značným handicapom. Vyvrcholenie krízy v geografii nastáva začiatkom 50-tych rokov v USA, kde dochádza k rušeniu študijných programov a katedier geografie na vysokých školách po celej krajine.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Kvantitatívna revolúcia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Liekom na tento vývoj bolo obdobie tzv. kvantitatívnej revolúcie (koniec 50-tych a 60-te roky 20.-ho storočia), kedy dochádza k rozvoju nových metodických postupov v oblasti priestorovej analýzy, rozvíja sa taktiež teoretická geografia. V geografii sa udomácňujú metódy modelovania, štatistickej analýzy. Došlo k posunu od miesta (územia – regiónu, vymedzeného hranicami) k priestoru (kontinuálny priestor). Dochádza taktiež k udomácneniu sa a rozvoju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lokačných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teórií (Von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Thünen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Weber,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Christaller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…), ktoré našli svoje uplatnenie v plánovacej praxi. Najväčší vplyv, ktoré malo toto obdobie na vývoj v geografii bolo rozšírenie myslenia v duchu </w:t>
      </w:r>
      <w:hyperlink r:id="rId30" w:tooltip="Pozitivizmus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pozitivizmu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Kvantitatívna revolúcia najviac ovplyvnila ako </w:t>
      </w:r>
      <w:hyperlink r:id="rId31" w:tooltip="Fyzická geografia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fyzickú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, tak aj humánnu geografiu (</w:t>
      </w:r>
      <w:hyperlink r:id="rId32" w:tooltip="Ekonomická geografia" w:history="1">
        <w:r w:rsidRPr="009838CB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</w:rPr>
          <w:t>ekonomickú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 a 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begin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instrText xml:space="preserve"> HYPERLINK "https://sk.wikipedia.org/wiki/Urb%C3%A1nna_geografia" \o "Urbánna geografia" </w:instrTex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separate"/>
      </w:r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urbánnu</w:t>
      </w:r>
      <w:proofErr w:type="spellEnd"/>
      <w:r w:rsidRPr="009838CB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geografiu</w:t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fldChar w:fldCharType="end"/>
      </w: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). Dala tiež základ pre neskorší vznik geografických informačných systémov alebo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geoinformatiky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či disciplín ako sú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ďiaľkový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prieskum Zeme alebo fotogrametria.</w:t>
      </w:r>
    </w:p>
    <w:p w:rsidR="009838CB" w:rsidRPr="009838CB" w:rsidRDefault="009838CB" w:rsidP="009838CB">
      <w:pPr>
        <w:pBdr>
          <w:bottom w:val="single" w:sz="4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000000"/>
          <w:sz w:val="24"/>
          <w:szCs w:val="24"/>
        </w:rPr>
        <w:t>Kritická geografia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Napriek tomu, že pozitivistické resp.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post-pozitivistické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myslenie je v geografii dôležité aj naďalej v 70-tych rokoch sa v (humánnej) geografii objavuje kritika kvantitatívnej geografie, ktorá počíta s človekom ako ideálne a maximálne rozumne sa správajúcou bytosťou (tzv.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homo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aeconomicus</w:t>
      </w:r>
      <w:proofErr w:type="spellEnd"/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) a dochádza k zameraniu sa na spoločnosť, jednotlivca, sociálne vzťahy… Okrem kvantitatívnych metód výskumu sa v geografii uplatňujú aj </w:t>
      </w:r>
      <w:hyperlink r:id="rId33" w:tooltip="Kvalitatívne metódy (stránka neexistuje)" w:history="1">
        <w:r w:rsidRPr="009838CB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kvalitatívne metódy</w:t>
        </w:r>
      </w:hyperlink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. Do centra výskumu sa taktiež dostávajú problémy životného prostredia neskôr globalizácie.</w:t>
      </w:r>
    </w:p>
    <w:p w:rsidR="009838CB" w:rsidRPr="009838CB" w:rsidRDefault="009838CB" w:rsidP="009838CB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9838CB">
        <w:rPr>
          <w:rFonts w:ascii="Times New Roman" w:eastAsia="Times New Roman" w:hAnsi="Times New Roman" w:cs="Times New Roman"/>
          <w:color w:val="252525"/>
          <w:sz w:val="24"/>
          <w:szCs w:val="24"/>
        </w:rPr>
        <w:t>Dnešná geografia je na rozdiel od geografie 18. a 19. stor. veľmi veľkou a rozmanitou vednou disciplínou, ktorá čerpá poznatky takmer z každej oblasti ľudského poznania ako aj prispieva k nemu.</w:t>
      </w:r>
    </w:p>
    <w:p w:rsidR="00000000" w:rsidRPr="009838CB" w:rsidRDefault="00EC6C97">
      <w:pPr>
        <w:rPr>
          <w:rFonts w:ascii="Times New Roman" w:hAnsi="Times New Roman" w:cs="Times New Roman"/>
          <w:sz w:val="24"/>
          <w:szCs w:val="24"/>
        </w:rPr>
      </w:pPr>
    </w:p>
    <w:sectPr w:rsidR="00000000" w:rsidRPr="009838CB" w:rsidSect="00983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9E5"/>
    <w:multiLevelType w:val="multilevel"/>
    <w:tmpl w:val="919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1A4514"/>
    <w:multiLevelType w:val="multilevel"/>
    <w:tmpl w:val="AFF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838CB"/>
    <w:rsid w:val="00231657"/>
    <w:rsid w:val="002B385F"/>
    <w:rsid w:val="00340316"/>
    <w:rsid w:val="00522ECD"/>
    <w:rsid w:val="00772817"/>
    <w:rsid w:val="00864650"/>
    <w:rsid w:val="009838CB"/>
    <w:rsid w:val="00D072AF"/>
    <w:rsid w:val="00EC6C97"/>
    <w:rsid w:val="00F7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83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y"/>
    <w:link w:val="Nadpis2Char"/>
    <w:uiPriority w:val="9"/>
    <w:qFormat/>
    <w:rsid w:val="00983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3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Predvolenpsmoodseku"/>
    <w:link w:val="Nadpis2"/>
    <w:uiPriority w:val="9"/>
    <w:rsid w:val="009838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textovprepojenie">
    <w:name w:val="Hyperlink"/>
    <w:basedOn w:val="Predvolenpsmoodseku"/>
    <w:uiPriority w:val="99"/>
    <w:semiHidden/>
    <w:unhideWhenUsed/>
    <w:rsid w:val="009838C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98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9838CB"/>
  </w:style>
  <w:style w:type="character" w:customStyle="1" w:styleId="toctoggle">
    <w:name w:val="toctoggle"/>
    <w:basedOn w:val="Predvolenpsmoodseku"/>
    <w:rsid w:val="009838CB"/>
  </w:style>
  <w:style w:type="character" w:customStyle="1" w:styleId="tocnumber">
    <w:name w:val="tocnumber"/>
    <w:basedOn w:val="Predvolenpsmoodseku"/>
    <w:rsid w:val="009838CB"/>
  </w:style>
  <w:style w:type="character" w:customStyle="1" w:styleId="toctext">
    <w:name w:val="toctext"/>
    <w:basedOn w:val="Predvolenpsmoodseku"/>
    <w:rsid w:val="009838CB"/>
  </w:style>
  <w:style w:type="character" w:customStyle="1" w:styleId="mw-headline">
    <w:name w:val="mw-headline"/>
    <w:basedOn w:val="Predvolenpsmoodseku"/>
    <w:rsid w:val="009838CB"/>
  </w:style>
  <w:style w:type="character" w:customStyle="1" w:styleId="mw-editsection">
    <w:name w:val="mw-editsection"/>
    <w:basedOn w:val="Predvolenpsmoodseku"/>
    <w:rsid w:val="009838CB"/>
  </w:style>
  <w:style w:type="character" w:customStyle="1" w:styleId="mw-editsection-bracket">
    <w:name w:val="mw-editsection-bracket"/>
    <w:basedOn w:val="Predvolenpsmoodseku"/>
    <w:rsid w:val="009838CB"/>
  </w:style>
  <w:style w:type="character" w:customStyle="1" w:styleId="mw-editsection-divider">
    <w:name w:val="mw-editsection-divider"/>
    <w:basedOn w:val="Predvolenpsmoodseku"/>
    <w:rsid w:val="009838CB"/>
  </w:style>
  <w:style w:type="paragraph" w:styleId="Textbubliny">
    <w:name w:val="Balloon Text"/>
    <w:basedOn w:val="Normlny"/>
    <w:link w:val="TextbublinyChar"/>
    <w:uiPriority w:val="99"/>
    <w:semiHidden/>
    <w:unhideWhenUsed/>
    <w:rsid w:val="0098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3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813">
                  <w:marLeft w:val="0"/>
                  <w:marRight w:val="0"/>
                  <w:marTop w:val="0"/>
                  <w:marBottom w:val="0"/>
                  <w:divBdr>
                    <w:top w:val="single" w:sz="4" w:space="5" w:color="AAAAAA"/>
                    <w:left w:val="single" w:sz="4" w:space="5" w:color="AAAAAA"/>
                    <w:bottom w:val="single" w:sz="4" w:space="5" w:color="AAAAAA"/>
                    <w:right w:val="single" w:sz="4" w:space="5" w:color="AAAAAA"/>
                  </w:divBdr>
                </w:div>
                <w:div w:id="208452782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41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  <w:div w:id="193567385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5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  <w:div w:id="551776088">
                  <w:marLeft w:val="0"/>
                  <w:marRight w:val="336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188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  <w:div w:id="71782752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41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Tigris" TargetMode="External"/><Relationship Id="rId13" Type="http://schemas.openxmlformats.org/officeDocument/2006/relationships/hyperlink" Target="https://sk.wikipedia.org/wiki/Starovek%C3%BD_R%C3%ADm" TargetMode="External"/><Relationship Id="rId18" Type="http://schemas.openxmlformats.org/officeDocument/2006/relationships/hyperlink" Target="https://sk.wikipedia.org/wiki/Kri%C5%A1tof_Kolumbus" TargetMode="External"/><Relationship Id="rId26" Type="http://schemas.openxmlformats.org/officeDocument/2006/relationships/hyperlink" Target="https://sk.wikipedia.org/wiki/Alexander_von_Humbold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Hydrosf%C3%A9r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k.wikipedia.org/wiki/N%C3%ADl" TargetMode="External"/><Relationship Id="rId12" Type="http://schemas.openxmlformats.org/officeDocument/2006/relationships/hyperlink" Target="https://sk.wikipedia.org/wiki/Hippokrates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sk.wikipedia.org/wiki/Alexander_von_Humboldt" TargetMode="External"/><Relationship Id="rId33" Type="http://schemas.openxmlformats.org/officeDocument/2006/relationships/hyperlink" Target="https://sk.wikipedia.org/w/index.php?title=Kvalitat%C3%ADvne_met%C3%B3dy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S%C3%BAbor:Columbus_Taking_Possession.jpg" TargetMode="External"/><Relationship Id="rId20" Type="http://schemas.openxmlformats.org/officeDocument/2006/relationships/hyperlink" Target="https://sk.wikipedia.org/wiki/Atlas_(s%C3%BAbor_m%C3%A1p)" TargetMode="External"/><Relationship Id="rId29" Type="http://schemas.openxmlformats.org/officeDocument/2006/relationships/hyperlink" Target="https://sk.wikipedia.org/wiki/Spojen%C3%A9_%C5%A1t%C3%A1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I%C3%B3nska_%C5%A1kola&amp;action=edit&amp;redlink=1" TargetMode="External"/><Relationship Id="rId11" Type="http://schemas.openxmlformats.org/officeDocument/2006/relationships/hyperlink" Target="https://sk.wikipedia.org/wiki/Alexandrijsk%C3%A1_%C5%A1kola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sk.wikipedia.org/wiki/Ekonomick%C3%A1_geografia" TargetMode="External"/><Relationship Id="rId5" Type="http://schemas.openxmlformats.org/officeDocument/2006/relationships/hyperlink" Target="https://sk.wikipedia.org/wiki/Starovek%C3%A9_Gr%C3%A9cko" TargetMode="External"/><Relationship Id="rId15" Type="http://schemas.openxmlformats.org/officeDocument/2006/relationships/hyperlink" Target="https://sk.wikipedia.org/wiki/Marco_Polo" TargetMode="External"/><Relationship Id="rId23" Type="http://schemas.openxmlformats.org/officeDocument/2006/relationships/hyperlink" Target="https://sk.wikipedia.org/wiki/S%C3%BAbor:Humboldt.jpg" TargetMode="External"/><Relationship Id="rId28" Type="http://schemas.openxmlformats.org/officeDocument/2006/relationships/hyperlink" Target="https://sk.wikipedia.org/wiki/Matej_Bel" TargetMode="External"/><Relationship Id="rId10" Type="http://schemas.openxmlformats.org/officeDocument/2006/relationships/hyperlink" Target="https://sk.wikipedia.org/wiki/Herodotos" TargetMode="External"/><Relationship Id="rId19" Type="http://schemas.openxmlformats.org/officeDocument/2006/relationships/hyperlink" Target="https://sk.wikipedia.org/w/index.php?title=J%C3%A1n_z_P%C3%BAchova&amp;action=edit&amp;redlink=1" TargetMode="External"/><Relationship Id="rId31" Type="http://schemas.openxmlformats.org/officeDocument/2006/relationships/hyperlink" Target="https://sk.wikipedia.org/wiki/Fyzick%C3%A1_geograf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Aristoteles" TargetMode="External"/><Relationship Id="rId14" Type="http://schemas.openxmlformats.org/officeDocument/2006/relationships/hyperlink" Target="https://sk.wikipedia.org/wiki/Arabi" TargetMode="External"/><Relationship Id="rId22" Type="http://schemas.openxmlformats.org/officeDocument/2006/relationships/hyperlink" Target="https://sk.wikipedia.org/w/index.php?title=Armosf%C3%A9ra&amp;action=edit&amp;redlink=1" TargetMode="External"/><Relationship Id="rId27" Type="http://schemas.openxmlformats.org/officeDocument/2006/relationships/hyperlink" Target="https://sk.wikipedia.org/w/index.php?title=%C3%81bel_Tasman&amp;action=edit&amp;redlink=1" TargetMode="External"/><Relationship Id="rId30" Type="http://schemas.openxmlformats.org/officeDocument/2006/relationships/hyperlink" Target="https://sk.wikipedia.org/wiki/Pozitivizmu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2051</Words>
  <Characters>11692</Characters>
  <Application>Microsoft Office Word</Application>
  <DocSecurity>0</DocSecurity>
  <Lines>97</Lines>
  <Paragraphs>27</Paragraphs>
  <ScaleCrop>false</ScaleCrop>
  <Company>Hewlett-Packard</Company>
  <LinksUpToDate>false</LinksUpToDate>
  <CharactersWithSpaces>13716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2016-09-11T09:39:00Z</dcterms:created>
  <dcterms:modified xsi:type="dcterms:W3CDTF">2016-09-11T09:45:00Z</dcterms:modified>
</cp:coreProperties>
</file>