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C9703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32"/>
                <w:szCs w:val="32"/>
              </w:rPr>
              <w:t>GEL-Š</w:t>
            </w:r>
            <w:r w:rsidRPr="009208B9">
              <w:rPr>
                <w:rStyle w:val="Siln"/>
                <w:smallCaps w:val="0"/>
                <w:sz w:val="32"/>
                <w:szCs w:val="32"/>
              </w:rPr>
              <w:t>KA-CHE-</w:t>
            </w:r>
            <w:r w:rsidR="00C97039">
              <w:rPr>
                <w:rStyle w:val="Siln"/>
                <w:smallCaps w:val="0"/>
                <w:sz w:val="32"/>
                <w:szCs w:val="32"/>
              </w:rPr>
              <w:t>IIIA</w:t>
            </w:r>
            <w:r w:rsidRPr="009208B9">
              <w:rPr>
                <w:rStyle w:val="Siln"/>
                <w:smallCaps w:val="0"/>
                <w:sz w:val="32"/>
                <w:szCs w:val="32"/>
              </w:rPr>
              <w:t>-</w:t>
            </w:r>
            <w:r w:rsidR="00C97039">
              <w:rPr>
                <w:rStyle w:val="Siln"/>
                <w:smallCaps w:val="0"/>
                <w:sz w:val="32"/>
                <w:szCs w:val="32"/>
              </w:rPr>
              <w:t>51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PBE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Nukleové kyseliny</w:t>
            </w:r>
            <w:r w:rsidR="00075992">
              <w:rPr>
                <w:rStyle w:val="Sil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Nukleové kyseliny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povinný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C97039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050DF4">
              <w:rPr>
                <w:rStyle w:val="Siln"/>
                <w:sz w:val="20"/>
                <w:szCs w:val="20"/>
              </w:rPr>
              <w:t>1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135B3" w:rsidRDefault="00F24E03" w:rsidP="00050DF4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="00C97039">
              <w:rPr>
                <w:sz w:val="20"/>
                <w:szCs w:val="20"/>
              </w:rPr>
              <w:t xml:space="preserve">Žiak kladie otázky, zapisuje si informácie, diskutuje, argumentuje,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C9703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97039">
              <w:rPr>
                <w:sz w:val="20"/>
                <w:szCs w:val="20"/>
              </w:rPr>
              <w:t>žiak si osvojuje a využíva odborné pojmy 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F24E03" w:rsidRPr="008135B3" w:rsidRDefault="00C97039" w:rsidP="00C9703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pracuje s počítačom, interaktívnou tabuľou a internetom.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C97039" w:rsidP="00B0624C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formuluje svoje myšlienky s využitím odborných pojmov.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C9703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 a prijať odlišné stanoviská,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riešiť problémovú úlohu, diskutovať, vyjadrovať, navzájom sa počúvať, vyhľadávať informácie </w:t>
            </w:r>
            <w:r>
              <w:rPr>
                <w:sz w:val="18"/>
                <w:szCs w:val="18"/>
              </w:rPr>
              <w:t>a </w:t>
            </w:r>
            <w:r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B062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získava schopnosť pracovať v tíme a schopnosť prezentovať zistené informácie.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050D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problémové vyučovanie, diskusia, metóda otázok a odpovedí,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Učebnica Chémie pre </w:t>
            </w:r>
            <w:r w:rsidR="008D0EFE">
              <w:rPr>
                <w:sz w:val="20"/>
                <w:szCs w:val="20"/>
              </w:rPr>
              <w:t>II</w:t>
            </w:r>
            <w:r w:rsidRPr="008135B3">
              <w:rPr>
                <w:sz w:val="20"/>
                <w:szCs w:val="20"/>
              </w:rPr>
              <w:t>I. ročník osemročných gymnázií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Počítač</w:t>
            </w:r>
            <w:r w:rsidR="008D0EFE">
              <w:rPr>
                <w:sz w:val="20"/>
                <w:szCs w:val="20"/>
              </w:rPr>
              <w:t xml:space="preserve"> s pripojením na </w:t>
            </w:r>
            <w:proofErr w:type="spellStart"/>
            <w:r w:rsidR="008D0EFE">
              <w:rPr>
                <w:sz w:val="20"/>
                <w:szCs w:val="20"/>
              </w:rPr>
              <w:t>dataprojektor</w:t>
            </w:r>
            <w:proofErr w:type="spellEnd"/>
            <w:r w:rsidR="008D0EFE">
              <w:rPr>
                <w:sz w:val="20"/>
                <w:szCs w:val="20"/>
              </w:rPr>
              <w:t xml:space="preserve"> a interaktívnu tabuľu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8D0EFE" w:rsidRPr="001333BE" w:rsidRDefault="008D0EFE" w:rsidP="008D0EFE">
            <w:pPr>
              <w:pStyle w:val="Odsekzoznamu"/>
              <w:spacing w:line="240" w:lineRule="auto"/>
              <w:ind w:left="360"/>
              <w:jc w:val="left"/>
              <w:rPr>
                <w:b/>
              </w:rPr>
            </w:pPr>
            <w:r w:rsidRPr="000B43C1">
              <w:t>Pracovný list</w:t>
            </w:r>
            <w:r>
              <w:t xml:space="preserve"> Nukleové kyseliny a genetická informácia súbor </w:t>
            </w:r>
            <w:r w:rsidRPr="001333BE">
              <w:rPr>
                <w:b/>
              </w:rPr>
              <w:t>GEL-ŠKA-CHE-IIIA-09</w:t>
            </w:r>
          </w:p>
          <w:p w:rsidR="00F24E03" w:rsidRPr="008135B3" w:rsidRDefault="008D0EFE" w:rsidP="008D0EFE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Nukleové kyseliny </w:t>
            </w:r>
            <w:r w:rsidRPr="00E03E93">
              <w:t>v Microsoft PowerPoint</w:t>
            </w:r>
            <w:r>
              <w:t xml:space="preserve"> súbor </w:t>
            </w:r>
            <w:r w:rsidRPr="001333BE">
              <w:rPr>
                <w:b/>
              </w:rPr>
              <w:t>GEL-ŠKA-CHE- IIIA-</w:t>
            </w:r>
            <w:r>
              <w:rPr>
                <w:b/>
              </w:rPr>
              <w:t>49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8E2FC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</w:t>
            </w:r>
            <w:proofErr w:type="spellStart"/>
            <w:r>
              <w:rPr>
                <w:sz w:val="20"/>
                <w:szCs w:val="20"/>
              </w:rPr>
              <w:t>dataprojektorom</w:t>
            </w:r>
            <w:proofErr w:type="spellEnd"/>
            <w:r>
              <w:rPr>
                <w:sz w:val="20"/>
                <w:szCs w:val="20"/>
              </w:rPr>
              <w:t xml:space="preserve"> napojeným na notebook  a interaktívnou tabuľou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D0EF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8D0EFE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využije motivačné obrázky a otázku Ako je možné, že sa potomkovia podobajú na svojich rodičov? V interaktívnej prezentácii súbor </w:t>
      </w:r>
      <w:r w:rsidRPr="001D3C92">
        <w:rPr>
          <w:b/>
          <w:sz w:val="20"/>
          <w:szCs w:val="18"/>
        </w:rPr>
        <w:t xml:space="preserve">GEL-ŠKA-CHE-IIIA-49 </w:t>
      </w:r>
      <w:r>
        <w:rPr>
          <w:b/>
          <w:sz w:val="20"/>
          <w:szCs w:val="18"/>
        </w:rPr>
        <w:t xml:space="preserve">- </w:t>
      </w:r>
      <w:r>
        <w:t xml:space="preserve">navodí tak diskusiu.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3C92">
        <w:t>Pozorne si pozrite obrázky na interaktívnej tabuli.</w:t>
      </w:r>
    </w:p>
    <w:p w:rsidR="00F24E03" w:rsidRPr="00DD5BCB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Diskutuje o tom, ako je možné, že sa potomkovia podobajú na svojich rodičov.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D0EF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BD00CB">
              <w:rPr>
                <w:b/>
                <w:bCs/>
                <w:sz w:val="20"/>
                <w:szCs w:val="20"/>
              </w:rPr>
              <w:t>2</w:t>
            </w:r>
            <w:r w:rsidR="008D0EFE">
              <w:rPr>
                <w:b/>
                <w:bCs/>
                <w:sz w:val="20"/>
                <w:szCs w:val="20"/>
              </w:rPr>
              <w:t>2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F24E03" w:rsidRDefault="001D3C92" w:rsidP="005166CE">
      <w:r>
        <w:t>Učiteľ pri vysvetľovaní využíva interaktívnu prezentáciu ktorá obsahuje obrázky objaviteľov štruktúry DNA, konkrétne chemické vzorce štruktúry nukleových kyselín, dusíkatých báz</w:t>
      </w:r>
      <w:r w:rsidR="00BD00CB">
        <w:t>, stavbu ATP</w:t>
      </w:r>
      <w:r>
        <w:t xml:space="preserve"> </w:t>
      </w:r>
      <w:r w:rsidR="00BD00CB">
        <w:t xml:space="preserve">pre názorné vysvetlenie. Pri vysvetľovaní vyzýva žiakov na prácu s interaktívnou tabuľou pri riešení pripravených úloh v prezentácii. Využíva </w:t>
      </w:r>
      <w:proofErr w:type="spellStart"/>
      <w:r w:rsidR="00BD00CB">
        <w:t>medzipredmetové</w:t>
      </w:r>
      <w:proofErr w:type="spellEnd"/>
      <w:r w:rsidR="00BD00CB">
        <w:t xml:space="preserve"> prepojenie so zreteľom na biológiu</w:t>
      </w:r>
      <w:r w:rsidR="001333BE">
        <w:t xml:space="preserve"> pri význame a lokalizácii nukleových kyselín v jednotlivých typov buniek.</w:t>
      </w:r>
    </w:p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t>Úlohy pre žiakov: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Pozorne sledujte učiteľa a píšte si najdôležitejšie slovné poznámky. </w:t>
      </w:r>
    </w:p>
    <w:p w:rsidR="00BD00CB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Vzorce a chemickú štruktúru budete mať v pracovnom liste, ktorý dostanete v závere VH. 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Pýtajte sa na nejasnosti. 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BD00C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15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966788" w:rsidRPr="00BD00CB" w:rsidRDefault="00BD00CB" w:rsidP="005166CE">
      <w:pPr>
        <w:rPr>
          <w:sz w:val="24"/>
        </w:rPr>
      </w:pPr>
      <w:r>
        <w:t xml:space="preserve">Učiteľ rozdá pracovné listy súbor </w:t>
      </w:r>
      <w:r w:rsidRPr="00BD00CB">
        <w:rPr>
          <w:b/>
          <w:sz w:val="20"/>
          <w:szCs w:val="18"/>
        </w:rPr>
        <w:t>GEL-ŠKA-CHE-IIIA-09</w:t>
      </w:r>
      <w:r>
        <w:rPr>
          <w:b/>
          <w:sz w:val="20"/>
          <w:szCs w:val="18"/>
        </w:rPr>
        <w:t xml:space="preserve">. </w:t>
      </w:r>
      <w:r w:rsidRPr="00BD00CB">
        <w:rPr>
          <w:szCs w:val="18"/>
        </w:rPr>
        <w:t>Zadá inšt</w:t>
      </w:r>
      <w:r>
        <w:rPr>
          <w:szCs w:val="18"/>
        </w:rPr>
        <w:t>r</w:t>
      </w:r>
      <w:r w:rsidRPr="00BD00CB">
        <w:rPr>
          <w:szCs w:val="18"/>
        </w:rPr>
        <w:t>ukcie o práci s pracovným listom</w:t>
      </w:r>
      <w:r>
        <w:rPr>
          <w:szCs w:val="18"/>
        </w:rPr>
        <w:t>. Žiaci sa hlásia a odpovedajú riešenia a odpovede do jednotlivých úloh. Pracovný list bude slúžiť aj ako pomôcka pre názornosť chemickej štruktúry nukleových kyselín, aby si ich nemuseli písať do zošita</w:t>
      </w:r>
      <w:r w:rsidR="008D0EFE">
        <w:rPr>
          <w:szCs w:val="18"/>
        </w:rPr>
        <w:t xml:space="preserve"> a tiež ako súčasť poznámok</w:t>
      </w:r>
      <w:r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D00CB">
        <w:t>Počúvajte inštrukcie o práci s pracovným listom.</w:t>
      </w:r>
    </w:p>
    <w:p w:rsidR="00BD00CB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Hláste sa a odpovedajte riešenia a odpovede jednotlivých úloh v pracovnom liste.</w:t>
      </w:r>
    </w:p>
    <w:p w:rsidR="001333BE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1333BE">
        <w:t>Vpisujte odpovede a riešenia perom do pracovného listu.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BD00CB">
        <w:t xml:space="preserve">Pýtajte sa na prípadné nejasnosti. 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>, zisťuje mieru osvojenia pojmov a učiva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Pr="00DD5BCB" w:rsidRDefault="00F24E03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1333BE" w:rsidP="001333B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</w:t>
            </w:r>
            <w:r w:rsidR="008D0EFE">
              <w:rPr>
                <w:b/>
                <w:bCs/>
                <w:sz w:val="20"/>
                <w:szCs w:val="20"/>
              </w:rPr>
              <w:t>3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F24E03" w:rsidRDefault="00F24E03" w:rsidP="009C0E59">
      <w:r>
        <w:t xml:space="preserve">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práca žiakov je hodnotená slovne a </w:t>
      </w:r>
      <w:r w:rsidR="001333BE">
        <w:t>najaktívnejší žiaci sú hodnotení známkou</w:t>
      </w:r>
    </w:p>
    <w:p w:rsidR="00F24E03" w:rsidRDefault="00F24E03" w:rsidP="009C0E59">
      <w:pPr>
        <w:pStyle w:val="Nadpis1"/>
        <w:numPr>
          <w:ilvl w:val="0"/>
          <w:numId w:val="0"/>
        </w:numPr>
        <w:ind w:left="360"/>
      </w:pPr>
    </w:p>
    <w:p w:rsidR="00F24E03" w:rsidRDefault="00F24E03" w:rsidP="009C0E59">
      <w:pPr>
        <w:pStyle w:val="Nadpis1"/>
        <w:numPr>
          <w:ilvl w:val="0"/>
          <w:numId w:val="0"/>
        </w:numPr>
        <w:ind w:left="360"/>
      </w:pPr>
    </w:p>
    <w:p w:rsidR="00F24E03" w:rsidRPr="003B3AB9" w:rsidRDefault="00F24E03" w:rsidP="003B3AB9"/>
    <w:p w:rsidR="00F24E03" w:rsidRPr="00DD5BCB" w:rsidRDefault="00F24E03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966788" w:rsidRPr="001333BE" w:rsidRDefault="00F24E0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 w:rsidRPr="000B43C1">
        <w:t>Pracovný list</w:t>
      </w:r>
      <w:r w:rsidR="00966788">
        <w:t xml:space="preserve"> </w:t>
      </w:r>
      <w:r w:rsidR="00075992">
        <w:t xml:space="preserve">Nukleové kyseliny a genetická informácia </w:t>
      </w:r>
      <w:r w:rsidR="00966788">
        <w:t xml:space="preserve">súbor </w:t>
      </w:r>
      <w:r w:rsidR="001333BE" w:rsidRPr="001333BE">
        <w:rPr>
          <w:b/>
        </w:rPr>
        <w:t>GEL-ŠKA-CHE-IIIA-09</w:t>
      </w:r>
    </w:p>
    <w:p w:rsidR="00F24E03" w:rsidRPr="001333BE" w:rsidRDefault="00966788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>Interaktívna p</w:t>
      </w:r>
      <w:r w:rsidR="00F24E03" w:rsidRPr="00E03E93">
        <w:t xml:space="preserve">rezentácia </w:t>
      </w:r>
      <w:r w:rsidR="00075992">
        <w:t xml:space="preserve">Nukleové kyseliny </w:t>
      </w:r>
      <w:r w:rsidR="00F24E03" w:rsidRPr="00E03E93">
        <w:t>v Microsoft PowerPoint</w:t>
      </w:r>
      <w:r w:rsidR="00F24E03">
        <w:t xml:space="preserve"> </w:t>
      </w:r>
      <w:r>
        <w:t xml:space="preserve">súbor </w:t>
      </w:r>
      <w:r w:rsidRPr="001333BE">
        <w:rPr>
          <w:b/>
        </w:rPr>
        <w:t>GEL-ŠKA-CHE-</w:t>
      </w:r>
      <w:r w:rsidR="00F24E03" w:rsidRPr="001333BE">
        <w:rPr>
          <w:b/>
        </w:rPr>
        <w:t xml:space="preserve"> </w:t>
      </w:r>
      <w:r w:rsidR="001333BE" w:rsidRPr="001333BE">
        <w:rPr>
          <w:b/>
        </w:rPr>
        <w:t>IIIA-49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F24E03" w:rsidRDefault="001333BE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Motivačný obrázok: </w:t>
      </w:r>
      <w:hyperlink r:id="rId7" w:history="1">
        <w:r w:rsidRPr="006B5E3D">
          <w:rPr>
            <w:rStyle w:val="Hypertextovprepojenie"/>
            <w:rFonts w:cs="Arial"/>
            <w:sz w:val="20"/>
            <w:szCs w:val="20"/>
          </w:rPr>
          <w:t>http://www.minifarma.sk/minisliepocky/</w:t>
        </w:r>
      </w:hyperlink>
    </w:p>
    <w:p w:rsidR="001333BE" w:rsidRDefault="001333BE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Motivačný obrázok: </w:t>
      </w:r>
      <w:hyperlink r:id="rId8" w:history="1">
        <w:r w:rsidRPr="006B5E3D">
          <w:rPr>
            <w:rStyle w:val="Hypertextovprepojenie"/>
            <w:rFonts w:cs="Arial"/>
            <w:sz w:val="20"/>
            <w:szCs w:val="20"/>
          </w:rPr>
          <w:t>http://www.zenskyweb.sk/prakticka-slovenka/aka-matka-taka-katka-aj-babka</w:t>
        </w:r>
      </w:hyperlink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26529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265294" w:rsidRPr="00954CBD">
      <w:rPr>
        <w:sz w:val="16"/>
        <w:szCs w:val="16"/>
      </w:rPr>
      <w:fldChar w:fldCharType="separate"/>
    </w:r>
    <w:r w:rsidR="009D1AA9">
      <w:rPr>
        <w:noProof/>
        <w:sz w:val="16"/>
        <w:szCs w:val="16"/>
      </w:rPr>
      <w:t>6</w:t>
    </w:r>
    <w:r w:rsidR="0026529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9D1AA9" w:rsidRPr="009D1AA9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265294" w:rsidP="008135B3">
          <w:pPr>
            <w:spacing w:after="0" w:line="240" w:lineRule="auto"/>
          </w:pPr>
          <w:r w:rsidRPr="0026529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.6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265294" w:rsidP="008135B3">
          <w:pPr>
            <w:spacing w:after="0" w:line="240" w:lineRule="auto"/>
            <w:jc w:val="center"/>
          </w:pPr>
          <w:r w:rsidRPr="0026529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265294" w:rsidP="008135B3">
          <w:pPr>
            <w:spacing w:after="0" w:line="240" w:lineRule="auto"/>
            <w:jc w:val="right"/>
          </w:pPr>
          <w:r w:rsidRPr="0026529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19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1"/>
  </w:num>
  <w:num w:numId="20">
    <w:abstractNumId w:val="0"/>
  </w:num>
  <w:num w:numId="21">
    <w:abstractNumId w:val="21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0DF4"/>
    <w:rsid w:val="000569B8"/>
    <w:rsid w:val="00075992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333BE"/>
    <w:rsid w:val="0014198C"/>
    <w:rsid w:val="00152EFB"/>
    <w:rsid w:val="00154717"/>
    <w:rsid w:val="00157235"/>
    <w:rsid w:val="00162D8E"/>
    <w:rsid w:val="001B524B"/>
    <w:rsid w:val="001C007C"/>
    <w:rsid w:val="001C4C76"/>
    <w:rsid w:val="001D3C92"/>
    <w:rsid w:val="001E6D33"/>
    <w:rsid w:val="001F2B72"/>
    <w:rsid w:val="00206764"/>
    <w:rsid w:val="00253EE6"/>
    <w:rsid w:val="00260900"/>
    <w:rsid w:val="00265294"/>
    <w:rsid w:val="002674A6"/>
    <w:rsid w:val="00281679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F6DFF"/>
    <w:rsid w:val="004313A9"/>
    <w:rsid w:val="004521CE"/>
    <w:rsid w:val="00455FEA"/>
    <w:rsid w:val="00463301"/>
    <w:rsid w:val="00467686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037"/>
    <w:rsid w:val="0063019F"/>
    <w:rsid w:val="00654F84"/>
    <w:rsid w:val="00666BAC"/>
    <w:rsid w:val="00673267"/>
    <w:rsid w:val="006737B9"/>
    <w:rsid w:val="006D33E7"/>
    <w:rsid w:val="00706A9F"/>
    <w:rsid w:val="00711AC1"/>
    <w:rsid w:val="00711EC8"/>
    <w:rsid w:val="00715A49"/>
    <w:rsid w:val="00717841"/>
    <w:rsid w:val="007439BD"/>
    <w:rsid w:val="007442D5"/>
    <w:rsid w:val="00761F26"/>
    <w:rsid w:val="00764A45"/>
    <w:rsid w:val="00765592"/>
    <w:rsid w:val="0077511B"/>
    <w:rsid w:val="007A4AA4"/>
    <w:rsid w:val="007B5E04"/>
    <w:rsid w:val="007D26B7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D0EFE"/>
    <w:rsid w:val="008E2FCB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56884"/>
    <w:rsid w:val="0096182B"/>
    <w:rsid w:val="00966788"/>
    <w:rsid w:val="009A2F37"/>
    <w:rsid w:val="009B24BA"/>
    <w:rsid w:val="009C0E59"/>
    <w:rsid w:val="009D1AA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94D4A"/>
    <w:rsid w:val="00BD00CB"/>
    <w:rsid w:val="00BF056E"/>
    <w:rsid w:val="00BF5F8A"/>
    <w:rsid w:val="00C02116"/>
    <w:rsid w:val="00C43F66"/>
    <w:rsid w:val="00C70293"/>
    <w:rsid w:val="00C97039"/>
    <w:rsid w:val="00CC3B14"/>
    <w:rsid w:val="00CD280E"/>
    <w:rsid w:val="00CD6AD8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55B4"/>
    <w:rsid w:val="00EA44D5"/>
    <w:rsid w:val="00EC108D"/>
    <w:rsid w:val="00EC4E69"/>
    <w:rsid w:val="00EC6FAB"/>
    <w:rsid w:val="00EE5E37"/>
    <w:rsid w:val="00EF0911"/>
    <w:rsid w:val="00F24E03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skyweb.sk/prakticka-slovenka/aka-matka-taka-katka-aj-babka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inifarma.sk/minisliepock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861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21</cp:revision>
  <cp:lastPrinted>2014-06-02T09:09:00Z</cp:lastPrinted>
  <dcterms:created xsi:type="dcterms:W3CDTF">2014-09-18T19:00:00Z</dcterms:created>
  <dcterms:modified xsi:type="dcterms:W3CDTF">2015-01-18T09:54:00Z</dcterms:modified>
</cp:coreProperties>
</file>