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2E558AB6" w:rsidR="001601AE" w:rsidRDefault="001601AE" w:rsidP="001601AE">
      <w:r>
        <w:rPr>
          <w:b/>
          <w:bCs w:val="0"/>
        </w:rPr>
        <w:t>Tematický celok:</w:t>
      </w:r>
      <w:r>
        <w:t xml:space="preserve"> Európa</w:t>
      </w:r>
    </w:p>
    <w:p w14:paraId="389C1F32" w14:textId="4F9F918D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D45389">
        <w:t>Južná Európa</w:t>
      </w:r>
    </w:p>
    <w:p w14:paraId="586584C0" w14:textId="642C0063" w:rsidR="001601AE" w:rsidRDefault="001601AE" w:rsidP="001601AE">
      <w:r>
        <w:rPr>
          <w:b/>
          <w:bCs w:val="0"/>
        </w:rPr>
        <w:t>Ročník:</w:t>
      </w:r>
      <w:r>
        <w:t xml:space="preserve"> III.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585AE158" w14:textId="61BDCEFD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D177566" w14:textId="401B859D" w:rsidR="001601AE" w:rsidRDefault="000F4B08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Prírodná a humánna charakteristika severnej Európy,</w:t>
            </w:r>
          </w:p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3A7EDED1" w:rsidR="001601AE" w:rsidRDefault="00266678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>Didaktická hra severná Európa, Kvíz v programe flippity, prezentácia v programe PowerPoint, písacie pomôcky, tabuľa</w:t>
            </w:r>
            <w:r w:rsidR="000F4B08">
              <w:t>, atlas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57FA5609" w14:textId="28A85D09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Skupinová práca, frontálna práca</w:t>
            </w:r>
            <w:r w:rsidR="000F4B08">
              <w:t>.</w:t>
            </w:r>
          </w:p>
          <w:p w14:paraId="1AA047CB" w14:textId="77777777" w:rsidR="00266678" w:rsidRDefault="00266678" w:rsidP="000B1675">
            <w:pPr>
              <w:autoSpaceDE/>
              <w:spacing w:before="0" w:line="240" w:lineRule="auto"/>
              <w:ind w:firstLine="425"/>
              <w:jc w:val="left"/>
            </w:pPr>
          </w:p>
          <w:p w14:paraId="63DFC79A" w14:textId="5E05F3F1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Motivačný rozhovor, didaktická hra, výklad, sokratovský rozhovor</w:t>
            </w:r>
            <w:r w:rsidR="000F4B08">
              <w:t>.</w:t>
            </w: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49BAA450" w:rsidR="001601AE" w:rsidRDefault="001601AE" w:rsidP="001601AE"/>
    <w:p w14:paraId="183E7A31" w14:textId="2FE25735" w:rsidR="00A801CC" w:rsidRDefault="00A801CC" w:rsidP="001601AE"/>
    <w:p w14:paraId="193868F1" w14:textId="241EB37A" w:rsidR="00A801CC" w:rsidRDefault="00A801CC" w:rsidP="001601AE"/>
    <w:p w14:paraId="48D82590" w14:textId="77777777" w:rsidR="00A801CC" w:rsidRDefault="00A801CC" w:rsidP="001601AE"/>
    <w:p w14:paraId="2E0BB499" w14:textId="77777777" w:rsidR="001601AE" w:rsidRDefault="001601AE" w:rsidP="001601AE"/>
    <w:p w14:paraId="121C11F3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5A2E3ECD" w14:textId="77777777" w:rsidR="00D45389" w:rsidRDefault="00D45389" w:rsidP="001601AE">
      <w:pPr>
        <w:rPr>
          <w:b/>
          <w:bCs w:val="0"/>
          <w:sz w:val="28"/>
          <w:szCs w:val="28"/>
          <w:u w:val="single"/>
        </w:rPr>
      </w:pPr>
    </w:p>
    <w:p w14:paraId="20B7A0DD" w14:textId="0ADB8D7A" w:rsidR="001601AE" w:rsidRDefault="00D45389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(20 min.)</w:t>
      </w:r>
    </w:p>
    <w:p w14:paraId="0401F3D9" w14:textId="09BC066E" w:rsidR="00D45389" w:rsidRPr="00D45389" w:rsidRDefault="00D45389" w:rsidP="001601AE">
      <w:r>
        <w:t>Písomné opakovanie severnej Európy a </w:t>
      </w:r>
      <w:r w:rsidR="00442F04">
        <w:t>P</w:t>
      </w:r>
      <w:r>
        <w:t>obaltských krajín.</w:t>
      </w:r>
    </w:p>
    <w:p w14:paraId="3D47A931" w14:textId="77777777" w:rsidR="00442F04" w:rsidRDefault="00442F04" w:rsidP="001601AE">
      <w:pPr>
        <w:rPr>
          <w:b/>
          <w:bCs w:val="0"/>
          <w:sz w:val="28"/>
          <w:szCs w:val="28"/>
          <w:u w:val="single"/>
        </w:rPr>
      </w:pPr>
    </w:p>
    <w:p w14:paraId="0E49093F" w14:textId="0FAEBAF9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91586">
        <w:rPr>
          <w:b/>
          <w:bCs w:val="0"/>
          <w:sz w:val="28"/>
          <w:szCs w:val="28"/>
          <w:u w:val="single"/>
        </w:rPr>
        <w:t>1</w:t>
      </w:r>
      <w:r w:rsidR="00442F04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042C97BD" w14:textId="3E52C404" w:rsidR="004C3225" w:rsidRDefault="00B04EAD" w:rsidP="001601AE">
      <w:r>
        <w:t>Žiaci budú pracovať s atlasmi v dvojiciach. Ich úlohou bude naplánovať</w:t>
      </w:r>
      <w:r w:rsidR="00202B09">
        <w:t xml:space="preserve"> </w:t>
      </w:r>
      <w:r>
        <w:t>výlet loďou Costacruise</w:t>
      </w:r>
      <w:r w:rsidR="004C3225">
        <w:t>:</w:t>
      </w:r>
    </w:p>
    <w:p w14:paraId="17BEFF39" w14:textId="0BFE16EB" w:rsidR="004C3225" w:rsidRDefault="00202B09" w:rsidP="001601AE">
      <w:r>
        <w:t>(</w:t>
      </w:r>
      <w:r w:rsidR="004C3225">
        <w:t xml:space="preserve">1) </w:t>
      </w:r>
      <w:r>
        <w:t>vypísať</w:t>
      </w:r>
      <w:r w:rsidR="004C3225">
        <w:t xml:space="preserve"> aspoň 4</w:t>
      </w:r>
      <w:r>
        <w:t xml:space="preserve"> moria, ktorými bude prechádzať</w:t>
      </w:r>
      <w:r w:rsidR="00442F04">
        <w:t xml:space="preserve">; </w:t>
      </w:r>
    </w:p>
    <w:p w14:paraId="2B849E89" w14:textId="77777777" w:rsidR="004C3225" w:rsidRDefault="004C3225" w:rsidP="001601AE">
      <w:r>
        <w:t xml:space="preserve">(2) </w:t>
      </w:r>
      <w:r w:rsidR="002C00E3">
        <w:t xml:space="preserve">vypísať </w:t>
      </w:r>
      <w:r w:rsidR="00442F04">
        <w:t xml:space="preserve">4 </w:t>
      </w:r>
      <w:r w:rsidR="002C00E3">
        <w:t>štáty</w:t>
      </w:r>
      <w:r w:rsidR="00442F04">
        <w:t>, kde loď zakotví</w:t>
      </w:r>
      <w:r w:rsidR="002C00E3">
        <w:t xml:space="preserve"> </w:t>
      </w:r>
      <w:r w:rsidR="00442F04">
        <w:t>+ bližšie lokalizovať ich polohu, teda uviesť polostrovy</w:t>
      </w:r>
      <w:r>
        <w:t>,</w:t>
      </w:r>
      <w:r w:rsidR="00442F04">
        <w:t xml:space="preserve"> na ktorých ležia; </w:t>
      </w:r>
    </w:p>
    <w:p w14:paraId="0D45D181" w14:textId="77777777" w:rsidR="004C3225" w:rsidRDefault="004C3225" w:rsidP="001601AE">
      <w:r>
        <w:t xml:space="preserve">(3) </w:t>
      </w:r>
      <w:r w:rsidR="00442F04">
        <w:t>aby bola plavba loďou pre turis</w:t>
      </w:r>
      <w:r w:rsidR="007963E6">
        <w:t>t</w:t>
      </w:r>
      <w:r w:rsidR="00442F04">
        <w:t>ov atraktívnejšia, tak by sa mala zastaviť aj na aspoň 3 ostrovoch  J Európy</w:t>
      </w:r>
      <w:r w:rsidR="00B04EAD">
        <w:t xml:space="preserve">. </w:t>
      </w:r>
    </w:p>
    <w:p w14:paraId="6472FDBC" w14:textId="583DB459" w:rsidR="00202B09" w:rsidRDefault="00202B09" w:rsidP="001601AE">
      <w:r>
        <w:t xml:space="preserve">Loď </w:t>
      </w:r>
      <w:r w:rsidR="00442F04">
        <w:t>Costacruise</w:t>
      </w:r>
      <w:r w:rsidR="00442F04">
        <w:t xml:space="preserve">  </w:t>
      </w:r>
      <w:r>
        <w:t>svoju plavbu začína v Gréckom meste Athos a končí v meste San Sebastián</w:t>
      </w:r>
      <w:r w:rsidR="004C3225">
        <w:t xml:space="preserve"> (Španielsko)</w:t>
      </w:r>
      <w:r>
        <w:t xml:space="preserve">. </w:t>
      </w:r>
    </w:p>
    <w:p w14:paraId="1735AC82" w14:textId="77777777" w:rsidR="00202B09" w:rsidRDefault="00202B09" w:rsidP="001601AE"/>
    <w:p w14:paraId="1CAF5086" w14:textId="34AAEBB5" w:rsidR="00B04EAD" w:rsidRDefault="004C3225" w:rsidP="001601AE">
      <w:r w:rsidRPr="004C3225">
        <w:rPr>
          <w:i/>
          <w:iCs/>
          <w:u w:val="single"/>
        </w:rPr>
        <w:t>Domáca úloha:</w:t>
      </w:r>
      <w:r>
        <w:t xml:space="preserve"> Jednotlivé dvojice budú mať za domácu úlohu zistiť aspoň 3 zaujímavosť k miestam, ktoré ich loď v rámci nimi vytvorenej plavby navštívi. </w:t>
      </w:r>
    </w:p>
    <w:p w14:paraId="5DEA76A8" w14:textId="036A2FD1" w:rsidR="001601AE" w:rsidRDefault="00CE67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 xml:space="preserve">Expozícia </w:t>
      </w:r>
      <w:r w:rsidR="008745FF">
        <w:rPr>
          <w:b/>
          <w:bCs w:val="0"/>
          <w:sz w:val="28"/>
          <w:szCs w:val="28"/>
          <w:u w:val="single"/>
        </w:rPr>
        <w:t>1</w:t>
      </w:r>
      <w:r w:rsidR="00442F04">
        <w:rPr>
          <w:b/>
          <w:bCs w:val="0"/>
          <w:sz w:val="28"/>
          <w:szCs w:val="28"/>
          <w:u w:val="single"/>
        </w:rPr>
        <w:t>0</w:t>
      </w:r>
    </w:p>
    <w:p w14:paraId="39570D0C" w14:textId="2A54D92D" w:rsidR="00CE67A4" w:rsidRPr="00CE67A4" w:rsidRDefault="00202B09" w:rsidP="001601AE">
      <w:r>
        <w:t>Práca s</w:t>
      </w:r>
      <w:r w:rsidR="008C25C4">
        <w:t> </w:t>
      </w:r>
      <w:r>
        <w:t>mapou</w:t>
      </w:r>
      <w:r w:rsidR="008C25C4">
        <w:t xml:space="preserve">. Žiaci zaznačia do „slepej“ mapy </w:t>
      </w:r>
      <w:r>
        <w:t>polostrov</w:t>
      </w:r>
      <w:r w:rsidR="008C25C4">
        <w:t>y</w:t>
      </w:r>
      <w:r>
        <w:t>, ostrov</w:t>
      </w:r>
      <w:r w:rsidR="008C25C4">
        <w:t>y</w:t>
      </w:r>
      <w:r>
        <w:t xml:space="preserve"> a štát</w:t>
      </w:r>
      <w:r w:rsidR="008C25C4">
        <w:t>y</w:t>
      </w:r>
      <w:r>
        <w:t xml:space="preserve"> Južnej Európy</w:t>
      </w:r>
      <w:r w:rsidR="008C25C4">
        <w:t>.</w:t>
      </w:r>
    </w:p>
    <w:p w14:paraId="19DD2F1D" w14:textId="55653663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26E45F6A" w14:textId="222D2B1E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39DBEDEC" w14:textId="77777777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63D89D7F" w14:textId="33C916F1" w:rsidR="006620D0" w:rsidRDefault="006620D0" w:rsidP="001601AE"/>
    <w:sectPr w:rsidR="006620D0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6"/>
  </w:num>
  <w:num w:numId="2" w16cid:durableId="10304901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1"/>
  </w:num>
  <w:num w:numId="4" w16cid:durableId="2112704850">
    <w:abstractNumId w:val="2"/>
  </w:num>
  <w:num w:numId="5" w16cid:durableId="1980302046">
    <w:abstractNumId w:val="3"/>
  </w:num>
  <w:num w:numId="6" w16cid:durableId="982076288">
    <w:abstractNumId w:val="5"/>
  </w:num>
  <w:num w:numId="7" w16cid:durableId="828205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F4B08"/>
    <w:rsid w:val="001601AE"/>
    <w:rsid w:val="00186798"/>
    <w:rsid w:val="00193D64"/>
    <w:rsid w:val="00202B09"/>
    <w:rsid w:val="00266678"/>
    <w:rsid w:val="0029009E"/>
    <w:rsid w:val="002C00E3"/>
    <w:rsid w:val="00442F04"/>
    <w:rsid w:val="004C3225"/>
    <w:rsid w:val="006620D0"/>
    <w:rsid w:val="007963E6"/>
    <w:rsid w:val="008745FF"/>
    <w:rsid w:val="00891586"/>
    <w:rsid w:val="008C25C4"/>
    <w:rsid w:val="009540BD"/>
    <w:rsid w:val="00A801CC"/>
    <w:rsid w:val="00B04EAD"/>
    <w:rsid w:val="00B209D9"/>
    <w:rsid w:val="00B33A22"/>
    <w:rsid w:val="00C06561"/>
    <w:rsid w:val="00C724D2"/>
    <w:rsid w:val="00CE67A4"/>
    <w:rsid w:val="00CF2792"/>
    <w:rsid w:val="00D2166D"/>
    <w:rsid w:val="00D45389"/>
    <w:rsid w:val="00D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8</cp:revision>
  <dcterms:created xsi:type="dcterms:W3CDTF">2023-02-23T20:06:00Z</dcterms:created>
  <dcterms:modified xsi:type="dcterms:W3CDTF">2023-03-12T13:20:00Z</dcterms:modified>
</cp:coreProperties>
</file>