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sz w:val="32"/>
          <w:szCs w:val="32"/>
          <w:lang w:eastAsia="cs-CZ"/>
        </w:rPr>
      </w:pPr>
      <w:r w:rsidRPr="009242EF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1905</wp:posOffset>
            </wp:positionV>
            <wp:extent cx="973455" cy="658495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18382" r="5556" b="1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28"/>
          <w:szCs w:val="28"/>
          <w:lang w:eastAsia="cs-CZ"/>
        </w:rPr>
      </w:pPr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  <w:r w:rsidRPr="009242EF">
        <w:rPr>
          <w:rFonts w:ascii="Cambria" w:eastAsia="Times New Roman" w:hAnsi="Cambria" w:cs="Times New Roman"/>
          <w:b/>
          <w:sz w:val="28"/>
          <w:szCs w:val="28"/>
          <w:lang w:eastAsia="cs-CZ"/>
        </w:rPr>
        <w:t>Gymnázium,  SNP 1, 056 01 Gelnica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32"/>
          <w:szCs w:val="32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  <w:t xml:space="preserve">                                 TEMATICKÝ VÝCHOVNO-VZDELÁVACÍ PLÁN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Predmet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INFORmatika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          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š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kolský rok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201</w:t>
      </w:r>
      <w:r w:rsidR="00BB680E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8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/201</w:t>
      </w:r>
      <w:r w:rsidR="00BB680E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9</w:t>
      </w:r>
    </w:p>
    <w:p w:rsidR="009242EF" w:rsidRPr="00A57562" w:rsidRDefault="009242EF" w:rsidP="009242EF">
      <w:pPr>
        <w:keepNext/>
        <w:keepLines/>
        <w:spacing w:after="0" w:line="240" w:lineRule="auto"/>
        <w:ind w:right="-1134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Časový rozsah výučby: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1  vyučovacia hodina týždenne, 33 hodín ročne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Trieda:           III.</w:t>
      </w:r>
      <w:r w:rsidR="0098579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Stupeň vzdelania: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vyššie sekundárne vzdelanie ISCED 3A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Vyučujúci: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Ing. Anton </w:t>
      </w:r>
      <w:proofErr w:type="spellStart"/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Pisko</w:t>
      </w:r>
      <w:proofErr w:type="spellEnd"/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13A4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 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TVVP bol vypracovaný podľa učebných osnov </w:t>
      </w:r>
      <w:proofErr w:type="spellStart"/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ŠkVP</w:t>
      </w:r>
      <w:proofErr w:type="spellEnd"/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„Kľúč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ové kompetencie pre život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“ Gymnázia Gelnica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,</w:t>
      </w:r>
    </w:p>
    <w:p w:rsidR="009242EF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a v súlade so Štátnym vzdelávacím programom pre gymnáziá v SR – ISCED3A Vyššie sekundárne vzdelanie.</w:t>
      </w: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prerokovaný na PK  dňa  ....................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.............................................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Mgr. Jaroslava </w:t>
      </w:r>
      <w:proofErr w:type="spellStart"/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>Viťazková</w:t>
      </w:r>
      <w:proofErr w:type="spellEnd"/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            vedúca PK 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schválený dňa  ....................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RNDr. Dušan </w:t>
      </w:r>
      <w:proofErr w:type="spellStart"/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>Andraško</w:t>
      </w:r>
      <w:proofErr w:type="spellEnd"/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riaditeľ školy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UČEBNÉ ZDROJE: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Internet a iné médiá, dostupná odborná literatúra, pomôcky a materiály pre výklad učiva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 xml:space="preserve">Literatúra:  </w:t>
      </w: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1.    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Hvorecký,J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. – 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Gabčo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, P.: Informatika a výpočtová technika pre 1.roč. gymnázia, ALGORITMY, SPN, Bratislava 1988 (kapitoly 1 a 2.1)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Salanci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 Ľ..: Práca s grafikou (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Tématický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Jašková Ľ. a kol.: Práca s internetom (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Tématický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Kalaš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, I. a kol.: Informatika pre stredné školy, SPN, Bratislava 2001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A8688B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lastRenderedPageBreak/>
        <w:t>3.ROČNÍK (1hodina týždenne, spolu 33 hodín)</w:t>
      </w:r>
    </w:p>
    <w:tbl>
      <w:tblPr>
        <w:tblW w:w="13887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7"/>
        <w:gridCol w:w="7"/>
        <w:gridCol w:w="384"/>
        <w:gridCol w:w="1506"/>
        <w:gridCol w:w="3050"/>
        <w:gridCol w:w="5935"/>
        <w:gridCol w:w="1699"/>
        <w:gridCol w:w="137"/>
      </w:tblGrid>
      <w:tr w:rsidR="009242EF" w:rsidRPr="00A8688B" w:rsidTr="00D838B8">
        <w:trPr>
          <w:trHeight w:val="264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September</w:t>
            </w:r>
          </w:p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1.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RH-Úvod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.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učiva z 2.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ročníka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Podmienený  príkaz,  cyklus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 pevným počtom opakovaní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Poučenie o bezpečnosti práce v učebni informatiky,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 pravidlách používania užívateľského konta.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základných vedomostí z celkov 2. roč. (Ta-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buľkový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kalkulátor, Prezentačný softvér, Algoritmy,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Štruk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túrované programovanie v jazyku C )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PRG-3</w:t>
            </w:r>
          </w:p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(16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hod.)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2.</w:t>
            </w: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3.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Algoritmické riešenie problémov – pomocou cyklov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 na za-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čiatku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cyklus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podmienkou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na konci, vnorené cykly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opakovanie, počet opakovaní, podmienka vykonávania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telo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ako súvisí počet opakovaní s výsledkom, čo platí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 skončení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vyhodnotenie hraníc/podmienky cyklu, vykonávanie cyklu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Vysvetliť príkaz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while-do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využiť v konkrétnych programoch.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Poznať príklady praktického využitia príkazov v živote.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opakujúce sa vzory,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-rozpoznávať, aká časť algoritmu sa má vykonať pred, počas aj po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skončení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 riešiť problémy, v ktorých treba výsledok získať akumulovaním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čiastkových výsledkov v rámci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ktoré vyžadujú neznámy počet opakovaní,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v ktorých sa kombinujú cykly a vetvenia,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-stanoviť hranice a podmienky vykonávania cyklov.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4.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cantSplit/>
          <w:trHeight w:val="259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Október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5.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6.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Aritmetika 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funkcie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procedúry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Funkcie, procedúry,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deklará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cia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podprogramov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štandardných aritmetických funkcií a procedúr, tvorba 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lastných funkcií a procedúr. Zá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kladné druhy chýb, ladenie programu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PRG-3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60"/>
        </w:trPr>
        <w:tc>
          <w:tcPr>
            <w:tcW w:w="1176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7</w:t>
            </w:r>
          </w:p>
        </w:tc>
      </w:tr>
      <w:tr w:rsidR="009242EF" w:rsidRPr="00A8688B" w:rsidTr="00D838B8">
        <w:trPr>
          <w:trHeight w:val="87"/>
        </w:trPr>
        <w:tc>
          <w:tcPr>
            <w:tcW w:w="1176" w:type="dxa"/>
            <w:gridSpan w:val="3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4F2806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znaky, kódovanie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Definovať reťazec ako postupnosť znakov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char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). Pracovať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 jednotlivými znakmi v reťazci – vypisovanie reťazcov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trojuholníkov pod seba, zámena znakov v reťazci, kódovanie, slovo odzadu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</w:t>
            </w: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7.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8.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lastRenderedPageBreak/>
              <w:t>November</w:t>
            </w:r>
          </w:p>
        </w:tc>
        <w:tc>
          <w:tcPr>
            <w:tcW w:w="3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9.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10.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podprogramy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Vlastné funkcie a procedúry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Vedieť riešiť úlohy s využitím štandardných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reťazcových</w:t>
            </w:r>
            <w:proofErr w:type="spellEnd"/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funkcií a procedúr, tvorba vlastných funkcií a procedúr.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11.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Polia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Zložená premenná typu pole,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jednorozmerné pole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Definovať pole ako postupnosť s pevným počtom rôznych prvkov rovnakého typu (reťazec = pole znakov). Výhody a nevýhody využitia poľa v algoritmoch.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Príkladyanalógie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 bežného života. Načítať a vypísať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prvky.Riešiť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úlohy s využitím jednorozmerných polí čísel, reťazcov, znakov resp. logických hodnôt.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12.</w:t>
            </w: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27"/>
        <w:gridCol w:w="399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December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13.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triedenie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 triedenie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niektorého z algoritmov vyhľadávania a triedenia, vysvetlenie ostatných algoritmov. Poznať príklady praktického využitia príkazov v živote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– test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14.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1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Január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15.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RH-Aplikované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Aplikované úlohy, ladenie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Využiť riadiace príkazy pri tvorbe programov a aplikovať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na nich operácie ladenia behu programov. Pochopiť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jednot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livé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etapy tvorby a behu programov.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Vypracovať samostatne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dielčie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úlohy a spojiť ich do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sledného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projektu – výukový program alebo výukový test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(napr. „Vektory“ –  súčet, rozdiel, násobok vektorov,...)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16.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úlohy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programu</w:t>
            </w: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41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Február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ION-2c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  <w:proofErr w:type="spellEnd"/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(4 hod.)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17.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Grafická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mácia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vektoro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vá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Reprezentácie a nástroje – práca s grafikou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Vektorová grafika, grafické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formáty, aplikácie na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spraco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vanie grafickej informácie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rastrová a vektorová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vektorový obrázok ako zoskupenie objektov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tvarovanie, transformácia a usporiadanie objektov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Poznať základné odlišnosti vektorovej a bitmapovej grafiky. Popis programu, panely nástrojov. Výber a základné úpravy objektov. Vložiť text, tabuľku, obrázok do dokumentu. Upraviť hotové pripravené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kliparty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pomocou známych nástrojov.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-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kombinovať rastrové, vektorové obrázky 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texty,-vytvárať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grafické produkty pri realizácii svojich projektov,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-navrhovať a hodnotiť postupnosť grafických operácií</w:t>
            </w: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18.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8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41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7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F64809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F648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Marec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RH-Tvorba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projektu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Vytvoriť nový dokument, pripraviť pracovnú plochu,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vložiť geometrický tvar a formátovať ho (tvarovať, presúvať, kopírovať a zrkadliť, nastaviť farbu). Vytvoriť umelecký text. Exportovať dokument.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Sebahodnotenie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Hodnotenie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spolužiakmi, hod-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projektu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20.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Grafická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 Informácia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digitali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zácia videa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igitalizácia videa, animo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vaná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grafika, video, formáty,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aplikácie na spracovanie videa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Poznať základné druhy, formáty a spôsoby uloženia videa v PC.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Sťahovať videosekvencie z digitálneho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fotoaparátu,vytvárať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jednoduché animácie – videosekvencie, rozdeľovať a spájať videosekvencie v zvolenom programe.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notenie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lastRenderedPageBreak/>
              <w:t>ION-2d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  <w:proofErr w:type="spellEnd"/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426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22.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14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043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Apríl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KOMS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ION-3b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(6 hod.)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23.</w:t>
            </w: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24.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25.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Štruktúra stránky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 HTML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Práca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 textom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obráz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kami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Komunikácia a spolupráca – prezentovanie informácií prostredníctvom webovej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Komunikácia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a spolupráca – vyhľadávanie na webe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HTML, štruktúra stránky,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telo dokumentu,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hypertext,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parametre,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a  vzťahy:  webová  stránka  ako  miesto  na  prezentáciu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 komunikáciu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úprava  a  formátovanie  textu,  obrázka,  tabuľky,  vkladanie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odkazu (na vlastnú podstránku, inú stránku), zverejnenie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práca   s informačnými   systémami,   prekladanie   textov,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vyhľadávanie miest a trás na mape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Vysvetliť pojmy hypertext,  hypertextový jazyk  a rozdiel oproti programovaciemu jazyku,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Vymenovať spôsoby a etapy tvorby 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www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stránok.  Vysvetliť 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tagy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v hlavičke HTML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dokumentu.  Vytvoriť  jednoduchú 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www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stránku v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Notepade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aj vo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Frontpage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Využiť dokumenty vo Worde,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Exceli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Powerpointe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urobiť z nich stránky.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Formátovanie textu. Nadpisy, písmo, veľkosť písma.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Umiestnenie  obrázkov.  Zarovnávanie  obrázkov  a  textu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Veľkosť,  popis obrázkov.  Rámček a voľné okraje okolo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obrázka. Obrázky na pozadí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-používať  konkrétne  nástroje  na  vytvorenie webovej stránky s požadovaným obsahom  a formátom 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naprvýsledky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práce žiaka),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-realizovať postup pre sprístupnenie/publikovanie stránky na webe.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prostredníctvom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zložených výrazov,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(napr. textové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preklady, prevody jednotiek, kurzy, mapy, trasy),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vyhľadávanie (napr. správnosť a kvalitu vyhľadaných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informácií, ako rýchlo boli nájdené, ...).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Priebežné hodnotenie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–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praktické činnosti</w:t>
            </w:r>
          </w:p>
        </w:tc>
        <w:tc>
          <w:tcPr>
            <w:tcW w:w="30" w:type="dxa"/>
            <w:tcBorders>
              <w:bottom w:val="nil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  <w:sectPr w:rsidR="009242EF" w:rsidRPr="00A8688B" w:rsidSect="009242EF">
          <w:headerReference w:type="default" r:id="rId9"/>
          <w:footerReference w:type="default" r:id="rId10"/>
          <w:pgSz w:w="16838" w:h="11909" w:orient="landscape"/>
          <w:pgMar w:top="705" w:right="1380" w:bottom="460" w:left="1300" w:header="720" w:footer="0" w:gutter="0"/>
          <w:cols w:space="708"/>
          <w:titlePg/>
          <w:docGrid w:linePitch="299"/>
        </w:sectPr>
      </w:pPr>
      <w:bookmarkStart w:id="0" w:name="_GoBack"/>
      <w:bookmarkEnd w:id="0"/>
    </w:p>
    <w:tbl>
      <w:tblPr>
        <w:tblW w:w="138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4"/>
        <w:gridCol w:w="385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lastRenderedPageBreak/>
              <w:t>Máj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26.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Netriedený, triedený 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ničný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zoznam,  viacúrovňové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tabuľky,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Vytvoriť netriedený, triedený, definičný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viacúrovňový zoznam. Vytvorenie jednoduchej tabuľky.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nadpis tabuľky. Nastavenie parametrov tabuľky: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okraj, pozadie a farba, vzdialenosť buniek a textu,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ohrani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tabuľky a políčok, šírka a počet stĺpcov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27.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0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28.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Odkazy,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previa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zanie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stránok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odkazmi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Interný a externý odkaz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Tvorba odkazov – textový a obrázkový odkaz, odkaz na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súbor, inú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www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stránku, mailový odkaz. Vytvorenie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štruk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túry navzájom odkazmi previazaných stránok, odkaz na iné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miesto dokumentu, odkaz na okno.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Informačná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spoločnosť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digitálne technológie v spoločnosti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nformačná spoločnosť – legálnosť používania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Informačná spoločnosť, in-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formačné technológie, IKT,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informatika,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e-learning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mail,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groupware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videokon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ferencie, multimediálne CD</w:t>
            </w: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Softvérová firma – pojmy </w:t>
            </w:r>
            <w:proofErr w:type="spellStart"/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upgrade</w:t>
            </w:r>
            <w:proofErr w:type="spellEnd"/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registrácia softvéru, elektronická dokumentácia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IKT v rôznych oblastiach (použitie, dôsledky a súvislosti)–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Administratíva (texty, prezentácie, databázy),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elektronickákancelária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(e-mail,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groupware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videokonferencie – informačné systémy,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e-working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), vzdelávanie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e-learning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multimediálne CD), šport, umenie a zábava (hry,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foto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video,záznam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zvuku,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špec.efekty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modelovanie), virtuálna realita(dopravné simulátory,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dig.vzduchový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tunel, výcvik voja-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kov);Softvérová firma – pojmy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upgrade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registrácia softvéru,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elektronická dokumentácia;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 o  profesiách,  ktoré  súvisia  s  rozvojom  digitálnych technológií,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-diskutovať  o  využití  digitálnych  technológií  pri  zjednodušení života </w:t>
            </w: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hendikepovaných,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súčasné trendy digitálnych technológií a ich vplyv na spoločnosť (limity a riziká) a odhadujú ich ďalší vývoj,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 rozvoj  digitálnych  technológií  a  ich  vplyv  na  svoje učenie sa.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s otvoreným zdrojovým kódom,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šírený zadarmo a softvér, za ktorý sa    platí,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-dodržiavať autorské práva (vzťahujúce sa aj na softvér),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o právnych dôsledkoch neoprávneného správania sa.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ústne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Jún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ISP-1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(3 hod.)</w:t>
            </w:r>
          </w:p>
        </w:tc>
        <w:tc>
          <w:tcPr>
            <w:tcW w:w="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30.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41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Riziká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informač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ných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technológií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bezpečnosť a</w:t>
            </w:r>
            <w:r w:rsidR="005923CC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riziká</w:t>
            </w:r>
          </w:p>
          <w:p w:rsidR="005923CC" w:rsidRP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</w:pP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Finančná gramotnosť –bezhotovostný platobný styk</w:t>
            </w:r>
          </w:p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Vírusy, počítačová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kriminali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ta, softvérové pirátstvo,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hac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kerstvo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netiketa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autorské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práva, freeware,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shareware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demoverzia=trial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adware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mailware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full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version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šírenie  počítačových  vírusov  a  spamov,  bezpečné  a  etické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správanie sa na internete, činnosť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hekerov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, nezverejňovanie vlastných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údajov na internete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Riziká IKT – vírusy: pojmy, typy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trójan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logické, časové,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listové,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samošíriace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vírusy, červy),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detekovanie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prevencia(používať AV, neznáme programy a emaily, bezpečné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webstránky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...);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poč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kriminalita (softvérové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pirátstvo,hackerstvo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poč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vandalizmus – vírusy);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Etika a právo – autorské práva na softvér (freeware,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shareware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demoverzia=trial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adware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mailware=postware=cardware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full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ersion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...);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-posudzovať riziká práce na počítači so škodlivým softvérom,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-aplikovať  pravidlá  pre  zabezpečenie  prístupu  do  e-mailu,  do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komunity, do počítača a proti neoprávnenému použitiu,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-zabezpečiť svoje údaje a komunikáciu proti zneužitiu,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dôveryhodnosť informácií na webe,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počítačovú kriminalitu,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-rozlišovať nelegálny obsah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  <w:p w:rsid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</w:t>
            </w: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chranné prvky, pravidlá bezhotovostného platobného styku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ústne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32.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55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ISP-2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38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33.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Opakovanie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,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preverovanie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Prebraté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témy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učiva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výber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Upevniť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dosiahnuté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vedomosti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a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zručnosti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formou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ústneho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a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praktického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preverovania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Záverečné hodnotenie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tabs>
          <w:tab w:val="num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/>
    <w:p w:rsidR="006B5650" w:rsidRDefault="006B5650"/>
    <w:sectPr w:rsidR="006B5650" w:rsidSect="009242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140" w:rsidRDefault="00A22140" w:rsidP="009242EF">
      <w:pPr>
        <w:spacing w:after="0" w:line="240" w:lineRule="auto"/>
      </w:pPr>
      <w:r>
        <w:separator/>
      </w:r>
    </w:p>
  </w:endnote>
  <w:endnote w:type="continuationSeparator" w:id="0">
    <w:p w:rsidR="00A22140" w:rsidRDefault="00A22140" w:rsidP="0092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EF" w:rsidRDefault="009242EF" w:rsidP="009242EF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C31330">
      <w:rPr>
        <w:rStyle w:val="slostrany"/>
        <w:i/>
        <w:noProof/>
        <w:sz w:val="20"/>
        <w:szCs w:val="20"/>
      </w:rPr>
      <w:t>2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C31330">
      <w:rPr>
        <w:rStyle w:val="slostrany"/>
        <w:i/>
        <w:noProof/>
        <w:sz w:val="20"/>
        <w:szCs w:val="20"/>
      </w:rPr>
      <w:t>6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</w:r>
    <w:r w:rsidR="00540227">
      <w:rPr>
        <w:rStyle w:val="slostrany"/>
        <w:i/>
        <w:sz w:val="20"/>
        <w:szCs w:val="20"/>
      </w:rPr>
      <w:t xml:space="preserve">                                                          </w:t>
    </w:r>
    <w:r>
      <w:rPr>
        <w:rStyle w:val="slostrany"/>
        <w:i/>
        <w:sz w:val="20"/>
        <w:szCs w:val="20"/>
      </w:rPr>
      <w:t>Vyučujúci</w:t>
    </w:r>
    <w:r w:rsidRPr="0066285A">
      <w:rPr>
        <w:rStyle w:val="slostrany"/>
        <w:i/>
        <w:sz w:val="20"/>
        <w:szCs w:val="20"/>
      </w:rPr>
      <w:t xml:space="preserve">: </w:t>
    </w:r>
    <w:proofErr w:type="spellStart"/>
    <w:r>
      <w:rPr>
        <w:rStyle w:val="slostrany"/>
        <w:i/>
        <w:sz w:val="20"/>
        <w:szCs w:val="20"/>
      </w:rPr>
      <w:t>Ing.Anton</w:t>
    </w:r>
    <w:proofErr w:type="spellEnd"/>
    <w:r>
      <w:rPr>
        <w:rStyle w:val="slostrany"/>
        <w:i/>
        <w:sz w:val="20"/>
        <w:szCs w:val="20"/>
      </w:rPr>
      <w:t xml:space="preserve"> </w:t>
    </w:r>
    <w:proofErr w:type="spellStart"/>
    <w:r>
      <w:rPr>
        <w:rStyle w:val="slostrany"/>
        <w:i/>
        <w:sz w:val="20"/>
        <w:szCs w:val="20"/>
      </w:rPr>
      <w:t>Pisko</w:t>
    </w:r>
    <w:proofErr w:type="spellEnd"/>
    <w:r>
      <w:rPr>
        <w:rStyle w:val="slostrany"/>
        <w:i/>
        <w:sz w:val="20"/>
        <w:szCs w:val="20"/>
      </w:rPr>
      <w:t xml:space="preserve"> </w:t>
    </w:r>
  </w:p>
  <w:p w:rsidR="009242EF" w:rsidRDefault="009242E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140" w:rsidRDefault="00A22140" w:rsidP="009242EF">
      <w:pPr>
        <w:spacing w:after="0" w:line="240" w:lineRule="auto"/>
      </w:pPr>
      <w:r>
        <w:separator/>
      </w:r>
    </w:p>
  </w:footnote>
  <w:footnote w:type="continuationSeparator" w:id="0">
    <w:p w:rsidR="00A22140" w:rsidRDefault="00A22140" w:rsidP="0092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EF" w:rsidRPr="00A8688B" w:rsidRDefault="009242EF" w:rsidP="00A8688B">
    <w:pPr>
      <w:tabs>
        <w:tab w:val="center" w:pos="4536"/>
        <w:tab w:val="right" w:pos="9072"/>
        <w:tab w:val="right" w:pos="15138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8"/>
        <w:szCs w:val="20"/>
        <w:lang w:eastAsia="cs-CZ"/>
      </w:rPr>
    </w:pP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INFORMATIKA –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II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I.</w:t>
    </w:r>
    <w:r w:rsidR="0098579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A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 w:rsidR="00BB680E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</w:t>
    </w:r>
    <w:r w:rsidR="00A57562">
      <w:rPr>
        <w:rFonts w:ascii="Times New Roman" w:eastAsia="Times New Roman" w:hAnsi="Times New Roman" w:cs="Times New Roman"/>
        <w:b/>
        <w:sz w:val="18"/>
        <w:szCs w:val="20"/>
        <w:lang w:eastAsia="cs-CZ"/>
      </w:rPr>
      <w:t>201</w:t>
    </w:r>
    <w:r w:rsidR="00BB680E">
      <w:rPr>
        <w:rFonts w:ascii="Times New Roman" w:eastAsia="Times New Roman" w:hAnsi="Times New Roman" w:cs="Times New Roman"/>
        <w:b/>
        <w:sz w:val="18"/>
        <w:szCs w:val="20"/>
        <w:lang w:eastAsia="cs-CZ"/>
      </w:rPr>
      <w:t>8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/201</w:t>
    </w:r>
    <w:r w:rsidR="00BB680E">
      <w:rPr>
        <w:rFonts w:ascii="Times New Roman" w:eastAsia="Times New Roman" w:hAnsi="Times New Roman" w:cs="Times New Roman"/>
        <w:b/>
        <w:sz w:val="18"/>
        <w:szCs w:val="20"/>
        <w:lang w:eastAsia="cs-CZ"/>
      </w:rPr>
      <w:t>9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                                                                        </w:t>
    </w:r>
    <w:r w:rsidR="00BB680E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(1 VH týždenne, 33 VH ročne)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  <w:t xml:space="preserve">                                                                                  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</w:p>
  <w:tbl>
    <w:tblPr>
      <w:tblW w:w="137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29"/>
      <w:gridCol w:w="426"/>
      <w:gridCol w:w="1417"/>
      <w:gridCol w:w="3119"/>
      <w:gridCol w:w="5953"/>
      <w:gridCol w:w="1701"/>
    </w:tblGrid>
    <w:tr w:rsidR="009242EF" w:rsidRPr="00A8688B" w:rsidTr="009242EF">
      <w:tc>
        <w:tcPr>
          <w:tcW w:w="1129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Mesiac</w:t>
          </w:r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</w:p>
      </w:tc>
      <w:tc>
        <w:tcPr>
          <w:tcW w:w="4536" w:type="dxa"/>
          <w:gridSpan w:val="2"/>
          <w:tcBorders>
            <w:bottom w:val="single" w:sz="4" w:space="0" w:color="auto"/>
          </w:tcBorders>
          <w:vAlign w:val="center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 xml:space="preserve">              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Obsahový štandard</w:t>
          </w:r>
        </w:p>
      </w:tc>
      <w:tc>
        <w:tcPr>
          <w:tcW w:w="5953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Výkonový štandard</w:t>
          </w:r>
        </w:p>
      </w:tc>
      <w:tc>
        <w:tcPr>
          <w:tcW w:w="1701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  <w:tr w:rsidR="009242EF" w:rsidRPr="00A8688B" w:rsidTr="009242EF">
      <w:tc>
        <w:tcPr>
          <w:tcW w:w="112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proofErr w:type="spellStart"/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Tem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.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celok</w:t>
          </w:r>
          <w:proofErr w:type="spellEnd"/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H</w:t>
          </w:r>
        </w:p>
      </w:tc>
      <w:tc>
        <w:tcPr>
          <w:tcW w:w="1417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Téma</w:t>
          </w:r>
        </w:p>
      </w:tc>
      <w:tc>
        <w:tcPr>
          <w:tcW w:w="311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Popis témy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, pojmy</w:t>
          </w:r>
        </w:p>
      </w:tc>
      <w:tc>
        <w:tcPr>
          <w:tcW w:w="5953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Vzdelávacie ciele a </w:t>
          </w:r>
          <w:r w:rsidRPr="00A8688B">
            <w:rPr>
              <w:rFonts w:ascii="Times New Roman" w:eastAsia="Times New Roman" w:hAnsi="Times New Roman" w:cs="Times New Roman"/>
              <w:b/>
              <w:i/>
              <w:color w:val="008000"/>
              <w:szCs w:val="24"/>
              <w:lang w:eastAsia="cs-CZ"/>
            </w:rPr>
            <w:t>výchovné ciele</w:t>
          </w:r>
        </w:p>
      </w:tc>
      <w:tc>
        <w:tcPr>
          <w:tcW w:w="1701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</w:tbl>
  <w:p w:rsidR="009242EF" w:rsidRDefault="009242E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20C4"/>
    <w:multiLevelType w:val="hybridMultilevel"/>
    <w:tmpl w:val="3A54F1C0"/>
    <w:lvl w:ilvl="0" w:tplc="6728D112">
      <w:start w:val="2"/>
      <w:numFmt w:val="decimal"/>
      <w:lvlText w:val="%1."/>
      <w:lvlJc w:val="left"/>
      <w:pPr>
        <w:ind w:left="141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62"/>
    <w:rsid w:val="00171FDC"/>
    <w:rsid w:val="004B7617"/>
    <w:rsid w:val="004F4BC2"/>
    <w:rsid w:val="00540227"/>
    <w:rsid w:val="005923CC"/>
    <w:rsid w:val="00683B4C"/>
    <w:rsid w:val="006B5650"/>
    <w:rsid w:val="007513A4"/>
    <w:rsid w:val="009242EF"/>
    <w:rsid w:val="0098579B"/>
    <w:rsid w:val="00A22140"/>
    <w:rsid w:val="00A57562"/>
    <w:rsid w:val="00BB680E"/>
    <w:rsid w:val="00C31330"/>
    <w:rsid w:val="00D452E3"/>
    <w:rsid w:val="00D514C3"/>
    <w:rsid w:val="00F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42EF"/>
  </w:style>
  <w:style w:type="paragraph" w:styleId="Pta">
    <w:name w:val="footer"/>
    <w:basedOn w:val="Normlny"/>
    <w:link w:val="PtaChar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rsid w:val="009242EF"/>
  </w:style>
  <w:style w:type="character" w:styleId="slostrany">
    <w:name w:val="page number"/>
    <w:basedOn w:val="Predvolenpsmoodseku"/>
    <w:rsid w:val="009242EF"/>
  </w:style>
  <w:style w:type="paragraph" w:styleId="Textbubliny">
    <w:name w:val="Balloon Text"/>
    <w:basedOn w:val="Normlny"/>
    <w:link w:val="TextbublinyChar"/>
    <w:uiPriority w:val="99"/>
    <w:semiHidden/>
    <w:unhideWhenUsed/>
    <w:rsid w:val="0068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42EF"/>
  </w:style>
  <w:style w:type="paragraph" w:styleId="Pta">
    <w:name w:val="footer"/>
    <w:basedOn w:val="Normlny"/>
    <w:link w:val="PtaChar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rsid w:val="009242EF"/>
  </w:style>
  <w:style w:type="character" w:styleId="slostrany">
    <w:name w:val="page number"/>
    <w:basedOn w:val="Predvolenpsmoodseku"/>
    <w:rsid w:val="009242EF"/>
  </w:style>
  <w:style w:type="paragraph" w:styleId="Textbubliny">
    <w:name w:val="Balloon Text"/>
    <w:basedOn w:val="Normlny"/>
    <w:link w:val="TextbublinyChar"/>
    <w:uiPriority w:val="99"/>
    <w:semiHidden/>
    <w:unhideWhenUsed/>
    <w:rsid w:val="0068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eJaroslavu\INF3_TVVP_201617_inova.doc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INF3_TVVP_201617_inova.doc</Template>
  <TotalTime>4</TotalTime>
  <Pages>6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12529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annpi</cp:lastModifiedBy>
  <cp:revision>4</cp:revision>
  <cp:lastPrinted>2017-09-19T12:01:00Z</cp:lastPrinted>
  <dcterms:created xsi:type="dcterms:W3CDTF">2018-09-07T10:46:00Z</dcterms:created>
  <dcterms:modified xsi:type="dcterms:W3CDTF">2018-09-13T06:12:00Z</dcterms:modified>
</cp:coreProperties>
</file>