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42759D6D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7432BC">
        <w:t>Slovensko</w:t>
      </w:r>
    </w:p>
    <w:p w14:paraId="389C1F32" w14:textId="3253E635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7432BC">
        <w:t>Obyvateľstvo Slovenska</w:t>
      </w:r>
    </w:p>
    <w:p w14:paraId="586584C0" w14:textId="20FED6B4" w:rsidR="001601AE" w:rsidRDefault="001601AE" w:rsidP="001601AE">
      <w:r>
        <w:rPr>
          <w:b/>
          <w:bCs w:val="0"/>
        </w:rPr>
        <w:t>Ročník:</w:t>
      </w:r>
      <w:r>
        <w:t xml:space="preserve"> </w:t>
      </w:r>
      <w:r w:rsidR="007432BC">
        <w:t>IV</w:t>
      </w:r>
      <w:r>
        <w:t>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585AE158" w14:textId="61BDCEFD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6B7F7102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47B58217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9BAA450" w:rsidR="001601AE" w:rsidRDefault="001601AE" w:rsidP="001601AE"/>
    <w:p w14:paraId="183E7A31" w14:textId="2FE25735" w:rsidR="00A801CC" w:rsidRDefault="00A801CC" w:rsidP="001601AE"/>
    <w:p w14:paraId="193868F1" w14:textId="241EB37A" w:rsidR="00A801CC" w:rsidRDefault="00A801CC" w:rsidP="001601AE"/>
    <w:p w14:paraId="48D82590" w14:textId="77777777" w:rsidR="00A801CC" w:rsidRDefault="00A801CC" w:rsidP="001601AE"/>
    <w:p w14:paraId="2E0BB499" w14:textId="77777777" w:rsidR="001601AE" w:rsidRDefault="001601AE" w:rsidP="001601AE"/>
    <w:p w14:paraId="121C11F3" w14:textId="194C769D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56F18BD" w14:textId="77777777" w:rsidR="007432BC" w:rsidRDefault="007432BC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20B7A0DD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0E49093F" w14:textId="05DD34D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4E41B322" w14:textId="30111C42" w:rsidR="00F87725" w:rsidRDefault="00F87725" w:rsidP="001601AE">
      <w:r w:rsidRPr="00F87725">
        <w:t>Diskusia</w:t>
      </w:r>
      <w:r>
        <w:t>-</w:t>
      </w:r>
    </w:p>
    <w:p w14:paraId="1B75DA02" w14:textId="1A603A3E" w:rsidR="00F87725" w:rsidRDefault="00F87725" w:rsidP="001601AE">
      <w:r>
        <w:t>Obyvatelia akých štátov Európy vnímajú SR ako dob</w:t>
      </w:r>
      <w:r w:rsidR="00AF6A66">
        <w:t>r</w:t>
      </w:r>
      <w:r>
        <w:t>ý štát na život?</w:t>
      </w:r>
    </w:p>
    <w:p w14:paraId="3F480425" w14:textId="16F54499" w:rsidR="00F87725" w:rsidRDefault="00F87725" w:rsidP="001601AE">
      <w:r>
        <w:t>Kvôli čomu sa títo ľudia rozhodli pre život na SR?</w:t>
      </w:r>
    </w:p>
    <w:p w14:paraId="5A55519C" w14:textId="2BB75058" w:rsidR="00F87725" w:rsidRDefault="00F87725" w:rsidP="00F87725">
      <w:pPr>
        <w:pStyle w:val="Odsekzoznamu"/>
        <w:numPr>
          <w:ilvl w:val="0"/>
          <w:numId w:val="7"/>
        </w:numPr>
      </w:pPr>
      <w:r>
        <w:t>Ukrajina, Maďari, Rakúšania, Česi...</w:t>
      </w:r>
    </w:p>
    <w:p w14:paraId="18A7C1E6" w14:textId="3E923A69" w:rsidR="00F87725" w:rsidRDefault="00F87725" w:rsidP="00F87725">
      <w:r>
        <w:t>Dôvody ???</w:t>
      </w:r>
    </w:p>
    <w:p w14:paraId="0AD7AA4F" w14:textId="2702D0AB" w:rsidR="00F87725" w:rsidRDefault="00F87725" w:rsidP="00F87725">
      <w:r>
        <w:t>Sťahujú sa aj Slováci do iných Európskych krajín?</w:t>
      </w:r>
    </w:p>
    <w:p w14:paraId="320BFC40" w14:textId="3D9B2334" w:rsidR="00F87725" w:rsidRDefault="00F87725" w:rsidP="00F87725">
      <w:r>
        <w:t>Pračo??? – Dôvody</w:t>
      </w:r>
    </w:p>
    <w:p w14:paraId="2B41169B" w14:textId="03A25D3B" w:rsidR="00F87725" w:rsidRDefault="00F87725" w:rsidP="00F87725"/>
    <w:p w14:paraId="06DF6406" w14:textId="2CD533C0" w:rsidR="00F87725" w:rsidRDefault="00F87725" w:rsidP="00F87725">
      <w:r>
        <w:t>Touto diskusiou prejdem na sťahovanie sa obyvateľov v rámci miest SR:</w:t>
      </w:r>
    </w:p>
    <w:p w14:paraId="0A2F1223" w14:textId="63FB9E99" w:rsidR="00F87725" w:rsidRDefault="00000000" w:rsidP="00F87725">
      <w:hyperlink r:id="rId5" w:history="1">
        <w:r w:rsidR="00F87725" w:rsidRPr="00A0248C">
          <w:rPr>
            <w:rStyle w:val="Hypertextovprepojenie"/>
          </w:rPr>
          <w:t>https://flowmap.blue/1p6XNvTGSKj3oONHiS9KZekIB82YrtC3kp7BT5OS4qoI?v=48.461084%2C19.359446%2C7.50%2C0%2C0&amp;a=0&amp;as=1&amp;b=1&amp;bo=75&amp;c=1&amp;ca=1&amp;d=1&amp;fe=1&amp;lt=1&amp;lfm=ALL&amp;t=20140101T000000%2C20150101T000000&amp;col=Default&amp;f=50</w:t>
        </w:r>
      </w:hyperlink>
      <w:r w:rsidR="00F87725">
        <w:t xml:space="preserve"> </w:t>
      </w:r>
    </w:p>
    <w:p w14:paraId="65643B4D" w14:textId="22F92B7F" w:rsidR="00F87725" w:rsidRPr="00F87725" w:rsidRDefault="00F87725" w:rsidP="00F87725">
      <w:r>
        <w:t>Žiakom vysvetlím čo znamenajú jednotlivé šípky v mape a odvodíme takýmto spôsobom najväčšie migračné toky v rámci SR ( v tejto časti budem používať zatiaľ pojem najväčšie sťahovanie, resp. Najväčšie odsťahovanie).</w:t>
      </w:r>
    </w:p>
    <w:p w14:paraId="71AB62D2" w14:textId="77777777" w:rsidR="00DE4F66" w:rsidRDefault="00DE4F66" w:rsidP="001601AE">
      <w:pPr>
        <w:rPr>
          <w:b/>
          <w:bCs w:val="0"/>
          <w:sz w:val="28"/>
          <w:szCs w:val="28"/>
          <w:u w:val="single"/>
        </w:rPr>
      </w:pPr>
    </w:p>
    <w:p w14:paraId="5DEA76A8" w14:textId="39BF0EE6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 xml:space="preserve">Expozícia </w:t>
      </w:r>
      <w:r w:rsidR="008745FF">
        <w:rPr>
          <w:b/>
          <w:bCs w:val="0"/>
          <w:sz w:val="28"/>
          <w:szCs w:val="28"/>
          <w:u w:val="single"/>
        </w:rPr>
        <w:t>15</w:t>
      </w:r>
    </w:p>
    <w:p w14:paraId="39570D0C" w14:textId="072E42B0" w:rsidR="00CE67A4" w:rsidRPr="00CE67A4" w:rsidRDefault="00CE67A4" w:rsidP="001601AE">
      <w:r w:rsidRPr="00CE67A4">
        <w:t>Prezentácia</w:t>
      </w:r>
      <w:r w:rsidR="00DE4F66">
        <w:t>+ poznámky</w:t>
      </w:r>
    </w:p>
    <w:p w14:paraId="19DD2F1D" w14:textId="55653663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26E45F6A" w14:textId="222D2B1E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39DBEDEC" w14:textId="77777777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63D89D7F" w14:textId="11A1D255" w:rsidR="006620D0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</w:t>
      </w:r>
      <w:r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 w:rsidR="001601AE">
        <w:rPr>
          <w:b/>
          <w:bCs w:val="0"/>
          <w:sz w:val="28"/>
          <w:szCs w:val="28"/>
          <w:u w:val="single"/>
        </w:rPr>
        <w:t xml:space="preserve"> min.)</w:t>
      </w:r>
    </w:p>
    <w:p w14:paraId="080EB364" w14:textId="7A6EFEE2" w:rsidR="00DE4F66" w:rsidRDefault="00DE4F66" w:rsidP="00667967">
      <w:pPr>
        <w:pStyle w:val="Odsekzoznamu"/>
        <w:numPr>
          <w:ilvl w:val="0"/>
          <w:numId w:val="8"/>
        </w:numPr>
      </w:pPr>
      <w:r w:rsidRPr="00DE4F66">
        <w:t>M</w:t>
      </w:r>
      <w:r>
        <w:t xml:space="preserve">etóda otázok + odpovedí. </w:t>
      </w:r>
    </w:p>
    <w:p w14:paraId="7D8BECE1" w14:textId="77777777" w:rsidR="00DE4F66" w:rsidRDefault="00DE4F66" w:rsidP="001601AE"/>
    <w:p w14:paraId="28C116DF" w14:textId="75037218" w:rsidR="00DE4F66" w:rsidRDefault="00DE4F66" w:rsidP="00667967">
      <w:pPr>
        <w:pStyle w:val="Odsekzoznamu"/>
        <w:numPr>
          <w:ilvl w:val="0"/>
          <w:numId w:val="8"/>
        </w:numPr>
      </w:pPr>
      <w:r>
        <w:t>Posledných 5-10 minút učiteľ rozdá žiakom malé papieriky, na ktoré budú žiaci písať ťahák. Povie im tiež, aby si všetko z lavice odložili a nechali si na nej iba pero. Na tabuľu učiteľ napíše oporné body, ku ktorým sa musia žiaci vyjadriť na ťaháku</w:t>
      </w:r>
      <w:r w:rsidR="001E0219">
        <w:t xml:space="preserve">. Ťahák je anonymný no po skončení aktivity si všetky ťaháky učiteľ pozbiera (spätná väzba pre učiteľa o tom čo si žiaci zapamätali). </w:t>
      </w:r>
    </w:p>
    <w:p w14:paraId="218F4E5A" w14:textId="205FCEC5" w:rsidR="00DE4F66" w:rsidRPr="00DE4F66" w:rsidRDefault="00DE4F66" w:rsidP="001601AE"/>
    <w:sectPr w:rsidR="00DE4F66" w:rsidRPr="00DE4F6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B84EAC"/>
    <w:multiLevelType w:val="hybridMultilevel"/>
    <w:tmpl w:val="C152F4C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160460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F4B08"/>
    <w:rsid w:val="001601AE"/>
    <w:rsid w:val="00186798"/>
    <w:rsid w:val="00193D64"/>
    <w:rsid w:val="001E0219"/>
    <w:rsid w:val="00266678"/>
    <w:rsid w:val="006620D0"/>
    <w:rsid w:val="00667967"/>
    <w:rsid w:val="007432BC"/>
    <w:rsid w:val="008745FF"/>
    <w:rsid w:val="00891586"/>
    <w:rsid w:val="00A801CC"/>
    <w:rsid w:val="00AF6A66"/>
    <w:rsid w:val="00B209D9"/>
    <w:rsid w:val="00B33A22"/>
    <w:rsid w:val="00C06561"/>
    <w:rsid w:val="00C724D2"/>
    <w:rsid w:val="00CE67A4"/>
    <w:rsid w:val="00CF2792"/>
    <w:rsid w:val="00D2166D"/>
    <w:rsid w:val="00D8184B"/>
    <w:rsid w:val="00DE4F66"/>
    <w:rsid w:val="00F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owmap.blue/1p6XNvTGSKj3oONHiS9KZekIB82YrtC3kp7BT5OS4qoI?v=48.461084%2C19.359446%2C7.50%2C0%2C0&amp;a=0&amp;as=1&amp;b=1&amp;bo=75&amp;c=1&amp;ca=1&amp;d=1&amp;fe=1&amp;lt=1&amp;lfm=ALL&amp;t=20140101T000000%2C20150101T000000&amp;col=Default&amp;f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9</cp:revision>
  <dcterms:created xsi:type="dcterms:W3CDTF">2023-02-23T20:06:00Z</dcterms:created>
  <dcterms:modified xsi:type="dcterms:W3CDTF">2023-03-01T20:39:00Z</dcterms:modified>
</cp:coreProperties>
</file>