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C6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C61E8">
        <w:rPr>
          <w:rFonts w:ascii="Arial" w:hAnsi="Arial" w:cs="Arial"/>
          <w:b/>
          <w:caps/>
          <w:sz w:val="24"/>
          <w:szCs w:val="24"/>
        </w:rPr>
        <w:t>Dotazník učiteľa</w:t>
      </w:r>
    </w:p>
    <w:p w:rsidR="00507D99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výučby a hodnotenia počas </w:t>
      </w:r>
      <w:proofErr w:type="spellStart"/>
      <w:r w:rsidRPr="00DC61E8">
        <w:rPr>
          <w:rFonts w:ascii="Arial" w:hAnsi="Arial" w:cs="Arial"/>
          <w:b/>
          <w:sz w:val="24"/>
          <w:szCs w:val="24"/>
        </w:rPr>
        <w:t>koronakrízy</w:t>
      </w:r>
      <w:proofErr w:type="spellEnd"/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491CC6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 priezvisko:</w:t>
      </w:r>
      <w:r w:rsidR="002A63EA">
        <w:rPr>
          <w:b/>
          <w:sz w:val="20"/>
          <w:szCs w:val="20"/>
        </w:rPr>
        <w:t xml:space="preserve"> Radúz  </w:t>
      </w:r>
      <w:proofErr w:type="spellStart"/>
      <w:r w:rsidR="002A63EA">
        <w:rPr>
          <w:b/>
          <w:sz w:val="20"/>
          <w:szCs w:val="20"/>
        </w:rPr>
        <w:t>Burčák</w:t>
      </w:r>
      <w:proofErr w:type="spellEnd"/>
    </w:p>
    <w:p w:rsidR="00DC61E8" w:rsidRPr="008A4CDB" w:rsidRDefault="00DC61E8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 xml:space="preserve">Predmetová komisia: </w:t>
      </w:r>
      <w:r w:rsidR="002A63EA">
        <w:rPr>
          <w:b/>
          <w:sz w:val="20"/>
          <w:szCs w:val="20"/>
        </w:rPr>
        <w:t>PK SJL, HP a VP</w:t>
      </w:r>
    </w:p>
    <w:p w:rsidR="00491CC6" w:rsidRPr="008A4CDB" w:rsidRDefault="00491CC6" w:rsidP="00491CC6">
      <w:pPr>
        <w:spacing w:after="0" w:line="276" w:lineRule="auto"/>
        <w:rPr>
          <w:sz w:val="20"/>
          <w:szCs w:val="20"/>
        </w:rPr>
      </w:pPr>
    </w:p>
    <w:p w:rsidR="00395637" w:rsidRPr="008A4CDB" w:rsidRDefault="00491CC6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prerušenia vyučovania z dôvodu prevencie výskytu ochorenia COVID-19 od </w:t>
      </w:r>
      <w:r w:rsidR="00DC61E8" w:rsidRPr="008A4CDB">
        <w:rPr>
          <w:sz w:val="20"/>
          <w:szCs w:val="20"/>
        </w:rPr>
        <w:t>16</w:t>
      </w:r>
      <w:r w:rsidRPr="008A4CDB">
        <w:rPr>
          <w:sz w:val="20"/>
          <w:szCs w:val="20"/>
        </w:rPr>
        <w:t>.03.2020 do 24.0</w:t>
      </w:r>
      <w:r w:rsidR="00DC61E8" w:rsidRPr="008A4CDB">
        <w:rPr>
          <w:sz w:val="20"/>
          <w:szCs w:val="20"/>
        </w:rPr>
        <w:t>6</w:t>
      </w:r>
      <w:r w:rsidRPr="008A4CDB">
        <w:rPr>
          <w:sz w:val="20"/>
          <w:szCs w:val="20"/>
        </w:rPr>
        <w:t xml:space="preserve">.2020 prebiehalo dištančné vzdelávanie formou elektronickej komunikácie žiakov </w:t>
      </w:r>
      <w:r w:rsidR="00DC61E8" w:rsidRPr="008A4CDB">
        <w:rPr>
          <w:sz w:val="20"/>
          <w:szCs w:val="20"/>
        </w:rPr>
        <w:t xml:space="preserve">s </w:t>
      </w:r>
      <w:r w:rsidRPr="008A4CDB">
        <w:rPr>
          <w:sz w:val="20"/>
          <w:szCs w:val="20"/>
        </w:rPr>
        <w:t xml:space="preserve">pedagogickými zamestnancami v súlade </w:t>
      </w:r>
      <w:r w:rsidR="00DC61E8" w:rsidRPr="008A4CDB">
        <w:rPr>
          <w:i/>
          <w:sz w:val="20"/>
          <w:szCs w:val="20"/>
        </w:rPr>
        <w:t xml:space="preserve">Vnútorným pokynom riaditeľa školy č. 02/2020 </w:t>
      </w:r>
      <w:r w:rsidR="00DC61E8" w:rsidRPr="008A4CDB">
        <w:rPr>
          <w:sz w:val="20"/>
          <w:szCs w:val="20"/>
        </w:rPr>
        <w:t xml:space="preserve">z 13.03.2020, ktorým bol aktualizovaný </w:t>
      </w:r>
      <w:r w:rsidR="00DC61E8" w:rsidRPr="008A4CDB">
        <w:rPr>
          <w:i/>
          <w:sz w:val="20"/>
          <w:szCs w:val="20"/>
        </w:rPr>
        <w:t>Vnútorným pokynom riaditeľa školy č. 06/2020</w:t>
      </w:r>
      <w:r w:rsidR="00DC61E8" w:rsidRPr="008A4CDB">
        <w:rPr>
          <w:sz w:val="20"/>
          <w:szCs w:val="20"/>
        </w:rPr>
        <w:t xml:space="preserve"> zo 14.04.2020. Na základe uvedených pokynov vyučovanie neprebiehalo v týchto mojich </w:t>
      </w:r>
      <w:r w:rsidR="00DC61E8" w:rsidRPr="008A4CDB">
        <w:rPr>
          <w:b/>
          <w:sz w:val="20"/>
          <w:szCs w:val="20"/>
        </w:rPr>
        <w:t>neklasifikovaných predmetoch</w:t>
      </w:r>
      <w:r w:rsidR="00DC61E8" w:rsidRPr="008A4CDB">
        <w:rPr>
          <w:sz w:val="20"/>
          <w:szCs w:val="20"/>
        </w:rPr>
        <w:t>:</w:t>
      </w:r>
    </w:p>
    <w:p w:rsidR="00395637" w:rsidRDefault="002A63EA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UMK  I.A </w:t>
      </w:r>
    </w:p>
    <w:p w:rsidR="002A63EA" w:rsidRPr="008A4CDB" w:rsidRDefault="002A63EA" w:rsidP="002A63EA">
      <w:pPr>
        <w:pStyle w:val="Odsekzoznamu"/>
        <w:spacing w:after="0" w:line="276" w:lineRule="auto"/>
        <w:ind w:left="1475"/>
        <w:jc w:val="both"/>
        <w:rPr>
          <w:sz w:val="20"/>
          <w:szCs w:val="20"/>
        </w:rPr>
      </w:pP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03-06/2020. V nasledujúcich tabuľkách je zapísané iba učivo z TVVP na šk. rok 2019/2020, ktoré nebolo prebraté alebo bolo prebraté </w:t>
      </w:r>
      <w:proofErr w:type="spellStart"/>
      <w:r w:rsidRPr="008A4CDB">
        <w:rPr>
          <w:sz w:val="20"/>
          <w:szCs w:val="20"/>
        </w:rPr>
        <w:t>naviac</w:t>
      </w:r>
      <w:proofErr w:type="spellEnd"/>
      <w:r w:rsidRPr="008A4CDB">
        <w:rPr>
          <w:sz w:val="20"/>
          <w:szCs w:val="20"/>
        </w:rPr>
        <w:t xml:space="preserve"> (napr. z vyšších ročníkov), lebo bolo vhodnejšie na dištančné vzdelávanie.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 TVVP 2019/2020</w:t>
      </w:r>
    </w:p>
    <w:tbl>
      <w:tblPr>
        <w:tblStyle w:val="Mriekatabuky"/>
        <w:tblW w:w="9067" w:type="dxa"/>
        <w:tblLook w:val="04A0"/>
      </w:tblPr>
      <w:tblGrid>
        <w:gridCol w:w="1007"/>
        <w:gridCol w:w="847"/>
        <w:gridCol w:w="3244"/>
        <w:gridCol w:w="3969"/>
      </w:tblGrid>
      <w:tr w:rsidR="00D15CD3" w:rsidRPr="00131709" w:rsidTr="00131709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8B4E71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OBN</w:t>
            </w:r>
          </w:p>
        </w:tc>
        <w:tc>
          <w:tcPr>
            <w:tcW w:w="847" w:type="dxa"/>
          </w:tcPr>
          <w:p w:rsidR="00D15CD3" w:rsidRPr="00131709" w:rsidRDefault="008B4E71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III.A</w:t>
            </w:r>
          </w:p>
        </w:tc>
        <w:tc>
          <w:tcPr>
            <w:tcW w:w="3244" w:type="dxa"/>
          </w:tcPr>
          <w:p w:rsidR="00D15CD3" w:rsidRPr="00131709" w:rsidRDefault="002163F3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Filozofia 20. stor. </w:t>
            </w:r>
          </w:p>
        </w:tc>
        <w:tc>
          <w:tcPr>
            <w:tcW w:w="3969" w:type="dxa"/>
          </w:tcPr>
          <w:p w:rsidR="00D15CD3" w:rsidRDefault="002163F3" w:rsidP="002163F3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Nebude odučené – nad rámec </w:t>
            </w:r>
            <w:proofErr w:type="spellStart"/>
            <w:r w:rsidRPr="00131709">
              <w:rPr>
                <w:sz w:val="18"/>
                <w:szCs w:val="18"/>
              </w:rPr>
              <w:t>ŠtVP</w:t>
            </w:r>
            <w:proofErr w:type="spellEnd"/>
            <w:r w:rsidRPr="0013170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okrajová téma </w:t>
            </w:r>
          </w:p>
          <w:p w:rsidR="002163F3" w:rsidRPr="00131709" w:rsidRDefault="002163F3" w:rsidP="002163F3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1017F7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D15CD3" w:rsidRPr="00131709" w:rsidRDefault="002163F3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II.O</w:t>
            </w:r>
          </w:p>
        </w:tc>
        <w:tc>
          <w:tcPr>
            <w:tcW w:w="3244" w:type="dxa"/>
          </w:tcPr>
          <w:p w:rsidR="00D15CD3" w:rsidRPr="00131709" w:rsidRDefault="002163F3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Osvietená  panovníčka a reformátor  Jozef  II.</w:t>
            </w:r>
          </w:p>
        </w:tc>
        <w:tc>
          <w:tcPr>
            <w:tcW w:w="3969" w:type="dxa"/>
          </w:tcPr>
          <w:p w:rsidR="00D15CD3" w:rsidRPr="00131709" w:rsidRDefault="002163F3" w:rsidP="00D15CD3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na začiatok nasledujúceho ročníka v rámci opakovania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4822AD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131709" w:rsidRPr="00131709" w:rsidRDefault="004822AD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131709" w:rsidRPr="00131709">
              <w:rPr>
                <w:sz w:val="18"/>
                <w:szCs w:val="18"/>
              </w:rPr>
              <w:t>.O</w:t>
            </w:r>
          </w:p>
        </w:tc>
        <w:tc>
          <w:tcPr>
            <w:tcW w:w="3244" w:type="dxa"/>
          </w:tcPr>
          <w:p w:rsidR="004822AD" w:rsidRPr="004822AD" w:rsidRDefault="004822AD" w:rsidP="004822AD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822AD">
              <w:rPr>
                <w:sz w:val="18"/>
                <w:szCs w:val="18"/>
              </w:rPr>
              <w:t>Nové mocné kráľovstvá stredoveku</w:t>
            </w:r>
          </w:p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4822AD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na začiatok nasledujúceho ročníka v rámci opakovania</w:t>
            </w:r>
          </w:p>
        </w:tc>
      </w:tr>
      <w:tr w:rsidR="002163F3" w:rsidRPr="00131709" w:rsidTr="00131709">
        <w:tc>
          <w:tcPr>
            <w:tcW w:w="1007" w:type="dxa"/>
          </w:tcPr>
          <w:p w:rsidR="002163F3" w:rsidRPr="00131709" w:rsidRDefault="004822AD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2163F3" w:rsidRPr="00131709" w:rsidRDefault="004822AD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I.A</w:t>
            </w:r>
          </w:p>
        </w:tc>
        <w:tc>
          <w:tcPr>
            <w:tcW w:w="3244" w:type="dxa"/>
          </w:tcPr>
          <w:p w:rsidR="002163F3" w:rsidRPr="002163F3" w:rsidRDefault="002163F3" w:rsidP="002163F3">
            <w:pPr>
              <w:rPr>
                <w:sz w:val="18"/>
                <w:szCs w:val="18"/>
              </w:rPr>
            </w:pPr>
            <w:r w:rsidRPr="002163F3">
              <w:rPr>
                <w:sz w:val="18"/>
                <w:szCs w:val="18"/>
              </w:rPr>
              <w:t>Mária Terézia a Jozef II.</w:t>
            </w:r>
          </w:p>
          <w:p w:rsidR="002163F3" w:rsidRPr="00131709" w:rsidRDefault="002163F3" w:rsidP="002163F3">
            <w:pPr>
              <w:rPr>
                <w:sz w:val="18"/>
                <w:szCs w:val="18"/>
              </w:rPr>
            </w:pPr>
            <w:r w:rsidRPr="002163F3">
              <w:rPr>
                <w:sz w:val="18"/>
                <w:szCs w:val="18"/>
              </w:rPr>
              <w:t>Medzinárodné vzťahy v Európe na prelome 18. A 19. stor.</w:t>
            </w:r>
          </w:p>
        </w:tc>
        <w:tc>
          <w:tcPr>
            <w:tcW w:w="3969" w:type="dxa"/>
          </w:tcPr>
          <w:p w:rsidR="002163F3" w:rsidRPr="00131709" w:rsidRDefault="002163F3" w:rsidP="00FF40B8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na začiatok nasledujúceho ročníka v rámci opakovania</w:t>
            </w:r>
          </w:p>
        </w:tc>
      </w:tr>
      <w:tr w:rsidR="002163F3" w:rsidRPr="00131709" w:rsidTr="00131709">
        <w:tc>
          <w:tcPr>
            <w:tcW w:w="1007" w:type="dxa"/>
          </w:tcPr>
          <w:p w:rsidR="002163F3" w:rsidRPr="00131709" w:rsidRDefault="004822AD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OBN</w:t>
            </w:r>
          </w:p>
        </w:tc>
        <w:tc>
          <w:tcPr>
            <w:tcW w:w="847" w:type="dxa"/>
          </w:tcPr>
          <w:p w:rsidR="002163F3" w:rsidRPr="00131709" w:rsidRDefault="004822AD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II.A</w:t>
            </w:r>
          </w:p>
        </w:tc>
        <w:tc>
          <w:tcPr>
            <w:tcW w:w="3244" w:type="dxa"/>
          </w:tcPr>
          <w:p w:rsidR="002163F3" w:rsidRPr="00131709" w:rsidRDefault="004822AD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Európska  únia</w:t>
            </w:r>
          </w:p>
        </w:tc>
        <w:tc>
          <w:tcPr>
            <w:tcW w:w="3969" w:type="dxa"/>
          </w:tcPr>
          <w:p w:rsidR="002163F3" w:rsidRPr="00131709" w:rsidRDefault="002163F3" w:rsidP="004822AD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Presun do </w:t>
            </w:r>
            <w:r>
              <w:rPr>
                <w:sz w:val="18"/>
                <w:szCs w:val="18"/>
              </w:rPr>
              <w:t xml:space="preserve">nasledujúceho ročníka namiesto učiva </w:t>
            </w:r>
            <w:r w:rsidR="004822AD">
              <w:rPr>
                <w:sz w:val="18"/>
                <w:szCs w:val="18"/>
              </w:rPr>
              <w:t>v rámci opakovania</w:t>
            </w:r>
          </w:p>
        </w:tc>
      </w:tr>
      <w:tr w:rsidR="002163F3" w:rsidRPr="00131709" w:rsidTr="00131709">
        <w:tc>
          <w:tcPr>
            <w:tcW w:w="1007" w:type="dxa"/>
          </w:tcPr>
          <w:p w:rsidR="002163F3" w:rsidRPr="00131709" w:rsidRDefault="001017F7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2163F3" w:rsidRPr="00131709" w:rsidRDefault="001017F7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III.A</w:t>
            </w:r>
          </w:p>
        </w:tc>
        <w:tc>
          <w:tcPr>
            <w:tcW w:w="3244" w:type="dxa"/>
          </w:tcPr>
          <w:p w:rsidR="002163F3" w:rsidRPr="00131709" w:rsidRDefault="001017F7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Svet a terorizmus a Globálne problémy  súčasného sveta</w:t>
            </w:r>
          </w:p>
        </w:tc>
        <w:tc>
          <w:tcPr>
            <w:tcW w:w="3969" w:type="dxa"/>
          </w:tcPr>
          <w:p w:rsidR="002163F3" w:rsidRPr="00131709" w:rsidRDefault="001017F7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Nebude  odučené v rámci  DEJ, ale v rámci semináru  v maturitnom ročníku</w:t>
            </w: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</w:t>
      </w:r>
      <w:proofErr w:type="spellStart"/>
      <w:r>
        <w:rPr>
          <w:b/>
        </w:rPr>
        <w:t>naviac</w:t>
      </w:r>
      <w:proofErr w:type="spellEnd"/>
      <w:r>
        <w:rPr>
          <w:b/>
        </w:rPr>
        <w:t xml:space="preserve"> oproti TVVP 2019/2020</w:t>
      </w:r>
    </w:p>
    <w:tbl>
      <w:tblPr>
        <w:tblStyle w:val="Mriekatabuky"/>
        <w:tblW w:w="9067" w:type="dxa"/>
        <w:tblLook w:val="04A0"/>
      </w:tblPr>
      <w:tblGrid>
        <w:gridCol w:w="1007"/>
        <w:gridCol w:w="847"/>
        <w:gridCol w:w="3244"/>
        <w:gridCol w:w="3969"/>
      </w:tblGrid>
      <w:tr w:rsidR="00131709" w:rsidRPr="00131709" w:rsidTr="00D810D2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4822AD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131709" w:rsidRPr="00131709" w:rsidRDefault="004822AD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IV.O</w:t>
            </w:r>
          </w:p>
        </w:tc>
        <w:tc>
          <w:tcPr>
            <w:tcW w:w="3244" w:type="dxa"/>
          </w:tcPr>
          <w:p w:rsidR="00131709" w:rsidRPr="004822AD" w:rsidRDefault="004822AD" w:rsidP="00D810D2">
            <w:pPr>
              <w:spacing w:line="276" w:lineRule="auto"/>
              <w:rPr>
                <w:sz w:val="18"/>
                <w:szCs w:val="18"/>
              </w:rPr>
            </w:pPr>
            <w:r w:rsidRPr="004822AD">
              <w:rPr>
                <w:sz w:val="18"/>
                <w:szCs w:val="18"/>
              </w:rPr>
              <w:t>Osobnosti 2. pol. 20. stor.</w:t>
            </w:r>
          </w:p>
        </w:tc>
        <w:tc>
          <w:tcPr>
            <w:tcW w:w="3969" w:type="dxa"/>
          </w:tcPr>
          <w:p w:rsidR="00131709" w:rsidRPr="00131709" w:rsidRDefault="004822AD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Učivo na  doplnenie </w:t>
            </w:r>
            <w:r w:rsidR="001017F7">
              <w:rPr>
                <w:sz w:val="18"/>
                <w:szCs w:val="18"/>
              </w:rPr>
              <w:t>historických súvislostí, ktoré  tvorili jedinečné osobnosti našich  dejín</w:t>
            </w: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017F7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131709" w:rsidRPr="00131709" w:rsidRDefault="001017F7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III.A</w:t>
            </w:r>
          </w:p>
        </w:tc>
        <w:tc>
          <w:tcPr>
            <w:tcW w:w="3244" w:type="dxa"/>
          </w:tcPr>
          <w:p w:rsidR="00131709" w:rsidRPr="00131709" w:rsidRDefault="001017F7" w:rsidP="00D810D2">
            <w:pPr>
              <w:spacing w:line="276" w:lineRule="auto"/>
              <w:rPr>
                <w:sz w:val="18"/>
                <w:szCs w:val="18"/>
              </w:rPr>
            </w:pPr>
            <w:r w:rsidRPr="004822AD">
              <w:rPr>
                <w:sz w:val="18"/>
                <w:szCs w:val="18"/>
              </w:rPr>
              <w:t>Osobnosti 2. pol. 20. stor.</w:t>
            </w:r>
          </w:p>
        </w:tc>
        <w:tc>
          <w:tcPr>
            <w:tcW w:w="3969" w:type="dxa"/>
          </w:tcPr>
          <w:p w:rsidR="00131709" w:rsidRPr="00131709" w:rsidRDefault="001017F7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Učivo na  doplnenie historických súvislostí, ktoré  tvorili jedinečné osobnosti našich  dejín</w:t>
            </w:r>
          </w:p>
        </w:tc>
      </w:tr>
    </w:tbl>
    <w:p w:rsidR="002A63EA" w:rsidRDefault="002A63EA" w:rsidP="00395637">
      <w:pPr>
        <w:spacing w:before="240" w:after="0" w:line="276" w:lineRule="auto"/>
        <w:jc w:val="both"/>
        <w:rPr>
          <w:b/>
        </w:rPr>
      </w:pPr>
    </w:p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67" w:type="dxa"/>
        <w:tblLook w:val="04A0"/>
      </w:tblPr>
      <w:tblGrid>
        <w:gridCol w:w="2972"/>
        <w:gridCol w:w="1701"/>
        <w:gridCol w:w="1985"/>
        <w:gridCol w:w="2409"/>
      </w:tblGrid>
      <w:tr w:rsidR="00395637" w:rsidRPr="00131709" w:rsidTr="00395637">
        <w:tc>
          <w:tcPr>
            <w:tcW w:w="2972" w:type="dxa"/>
            <w:shd w:val="clear" w:color="auto" w:fill="BFBFBF" w:themeFill="background1" w:themeFillShade="BF"/>
          </w:tcPr>
          <w:p w:rsidR="00395637" w:rsidRPr="00131709" w:rsidRDefault="00395637" w:rsidP="0039563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395637">
        <w:tc>
          <w:tcPr>
            <w:tcW w:w="2972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131709" w:rsidRDefault="00131709" w:rsidP="00491CC6">
      <w:pPr>
        <w:spacing w:after="0" w:line="276" w:lineRule="auto"/>
      </w:pPr>
    </w:p>
    <w:p w:rsidR="007245A5" w:rsidRDefault="007245A5" w:rsidP="00491CC6">
      <w:pPr>
        <w:spacing w:after="0" w:line="276" w:lineRule="auto"/>
      </w:pPr>
    </w:p>
    <w:p w:rsidR="008A4CDB" w:rsidRDefault="008A4CDB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7245A5" w:rsidRPr="007245A5" w:rsidRDefault="007245A5" w:rsidP="00491CC6">
      <w:pPr>
        <w:spacing w:after="0" w:line="276" w:lineRule="auto"/>
        <w:rPr>
          <w:b/>
        </w:rPr>
      </w:pPr>
      <w:r w:rsidRPr="007245A5">
        <w:rPr>
          <w:b/>
        </w:rPr>
        <w:lastRenderedPageBreak/>
        <w:t>Využívané vyučovacie metódy a formy:</w:t>
      </w:r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sprístupnenie nového učiva (napr. študi</w:t>
      </w:r>
      <w:r w:rsidR="001017F7">
        <w:rPr>
          <w:i/>
          <w:sz w:val="18"/>
          <w:szCs w:val="18"/>
        </w:rPr>
        <w:t>jné texty, EDUPAG</w:t>
      </w:r>
      <w:r w:rsidR="00C945D5">
        <w:rPr>
          <w:i/>
          <w:sz w:val="18"/>
          <w:szCs w:val="18"/>
        </w:rPr>
        <w:t xml:space="preserve">E prezentácie) pre všetky  ročníky  z predmetov  DEJ a OBN </w:t>
      </w:r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motivácia, precvičenie a overenie pochopenia učiva (napr. pracovné listy, </w:t>
      </w:r>
      <w:r w:rsidR="009F7269">
        <w:rPr>
          <w:i/>
          <w:sz w:val="18"/>
          <w:szCs w:val="18"/>
        </w:rPr>
        <w:t>domáce úlohy</w:t>
      </w:r>
      <w:r w:rsidRPr="008A4CDB">
        <w:rPr>
          <w:i/>
          <w:sz w:val="18"/>
          <w:szCs w:val="18"/>
        </w:rPr>
        <w:t>),</w:t>
      </w:r>
      <w:r w:rsidR="00C945D5">
        <w:rPr>
          <w:i/>
          <w:sz w:val="18"/>
          <w:szCs w:val="18"/>
        </w:rPr>
        <w:t>pre všetky ročníky z predmetov  OBN</w:t>
      </w:r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krátkodobé </w:t>
      </w:r>
      <w:proofErr w:type="spellStart"/>
      <w:r w:rsidRPr="008A4CDB">
        <w:rPr>
          <w:i/>
          <w:sz w:val="18"/>
          <w:szCs w:val="18"/>
        </w:rPr>
        <w:t>časovo-ohraničené</w:t>
      </w:r>
      <w:proofErr w:type="spellEnd"/>
      <w:r w:rsidRPr="008A4CDB">
        <w:rPr>
          <w:i/>
          <w:sz w:val="18"/>
          <w:szCs w:val="18"/>
        </w:rPr>
        <w:t xml:space="preserve"> preskúša</w:t>
      </w:r>
      <w:r w:rsidR="009F7269">
        <w:rPr>
          <w:i/>
          <w:sz w:val="18"/>
          <w:szCs w:val="18"/>
        </w:rPr>
        <w:t>nie žiakov (EDUPAGE testy) pre  všetkých  žiakov</w:t>
      </w:r>
      <w:r w:rsidR="00C945D5">
        <w:rPr>
          <w:i/>
          <w:sz w:val="18"/>
          <w:szCs w:val="18"/>
        </w:rPr>
        <w:t xml:space="preserve"> z predmetov  DEJ a OBN</w:t>
      </w:r>
    </w:p>
    <w:p w:rsidR="008A4CDB" w:rsidRPr="008A4CDB" w:rsidRDefault="009F7269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dlhodobé samostatné práce (</w:t>
      </w:r>
      <w:r w:rsidR="008A4CDB" w:rsidRPr="008A4CDB">
        <w:rPr>
          <w:i/>
          <w:sz w:val="18"/>
          <w:szCs w:val="18"/>
        </w:rPr>
        <w:t>elekt</w:t>
      </w:r>
      <w:r>
        <w:rPr>
          <w:i/>
          <w:sz w:val="18"/>
          <w:szCs w:val="18"/>
        </w:rPr>
        <w:t>ronické prezentácie, referáty</w:t>
      </w:r>
      <w:r w:rsidR="00C945D5">
        <w:rPr>
          <w:i/>
          <w:sz w:val="18"/>
          <w:szCs w:val="18"/>
        </w:rPr>
        <w:t xml:space="preserve">) pre  všetky  ročníky z </w:t>
      </w:r>
      <w:r>
        <w:rPr>
          <w:i/>
          <w:sz w:val="18"/>
          <w:szCs w:val="18"/>
        </w:rPr>
        <w:t>predmetov  DEJ a  OBN</w:t>
      </w:r>
    </w:p>
    <w:p w:rsidR="007245A5" w:rsidRPr="008A4CDB" w:rsidRDefault="007245A5" w:rsidP="00491CC6">
      <w:pPr>
        <w:spacing w:after="0" w:line="276" w:lineRule="auto"/>
        <w:rPr>
          <w:i/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Default="00AC5B87" w:rsidP="00AC5B87">
      <w:pPr>
        <w:spacing w:after="0" w:line="276" w:lineRule="auto"/>
        <w:rPr>
          <w:b/>
        </w:rPr>
      </w:pPr>
      <w:r w:rsidRPr="007245A5">
        <w:rPr>
          <w:b/>
        </w:rPr>
        <w:t xml:space="preserve">Využívané </w:t>
      </w:r>
      <w:r>
        <w:rPr>
          <w:b/>
        </w:rPr>
        <w:t>prostriedky hodnotenia</w:t>
      </w:r>
      <w:r w:rsidRPr="007245A5">
        <w:rPr>
          <w:b/>
        </w:rPr>
        <w:t>:</w:t>
      </w:r>
    </w:p>
    <w:p w:rsidR="00212244" w:rsidRPr="007245A5" w:rsidRDefault="00212244" w:rsidP="00AC5B87">
      <w:pPr>
        <w:spacing w:after="0" w:line="276" w:lineRule="auto"/>
        <w:rPr>
          <w:b/>
        </w:rPr>
      </w:pPr>
    </w:p>
    <w:p w:rsidR="008A4CDB" w:rsidRPr="008A4CDB" w:rsidRDefault="00212244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Ako  </w:t>
      </w:r>
      <w:r w:rsidR="008A4CDB">
        <w:rPr>
          <w:i/>
          <w:sz w:val="18"/>
          <w:szCs w:val="18"/>
        </w:rPr>
        <w:t>alternatívne hodnotenie</w:t>
      </w:r>
      <w:r>
        <w:rPr>
          <w:i/>
          <w:sz w:val="18"/>
          <w:szCs w:val="18"/>
        </w:rPr>
        <w:t xml:space="preserve"> som používal formu</w:t>
      </w:r>
      <w:r w:rsidR="008A4CDB" w:rsidRPr="008A4CDB">
        <w:rPr>
          <w:i/>
          <w:sz w:val="18"/>
          <w:szCs w:val="18"/>
        </w:rPr>
        <w:t xml:space="preserve"> (odovzdal/neo</w:t>
      </w:r>
      <w:r>
        <w:rPr>
          <w:i/>
          <w:sz w:val="18"/>
          <w:szCs w:val="18"/>
        </w:rPr>
        <w:t>dovzdal</w:t>
      </w:r>
      <w:r w:rsidR="008A4CDB" w:rsidRPr="008A4CDB">
        <w:rPr>
          <w:i/>
          <w:sz w:val="18"/>
          <w:szCs w:val="18"/>
        </w:rPr>
        <w:t>) v prípade sprístupňovania nového učiva, jeho precvi</w:t>
      </w:r>
      <w:r>
        <w:rPr>
          <w:i/>
          <w:sz w:val="18"/>
          <w:szCs w:val="18"/>
        </w:rPr>
        <w:t xml:space="preserve">čovania a overovania pochopenia – pre  všetky  ročníky  z predmetov </w:t>
      </w:r>
      <w:r w:rsidR="001704E3">
        <w:rPr>
          <w:i/>
          <w:sz w:val="18"/>
          <w:szCs w:val="18"/>
        </w:rPr>
        <w:t>Dej a  OBN</w:t>
      </w:r>
    </w:p>
    <w:p w:rsidR="00AC5B87" w:rsidRPr="008A4CDB" w:rsidRDefault="00212244" w:rsidP="00212244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sz w:val="20"/>
          <w:szCs w:val="20"/>
        </w:rPr>
      </w:pPr>
      <w:r>
        <w:rPr>
          <w:i/>
          <w:sz w:val="18"/>
          <w:szCs w:val="18"/>
        </w:rPr>
        <w:t xml:space="preserve">Používal som </w:t>
      </w:r>
      <w:r w:rsidR="008A4CDB" w:rsidRPr="008A4CDB">
        <w:rPr>
          <w:i/>
          <w:sz w:val="18"/>
          <w:szCs w:val="18"/>
        </w:rPr>
        <w:t>kl</w:t>
      </w:r>
      <w:r w:rsidR="008A4CDB">
        <w:rPr>
          <w:i/>
          <w:sz w:val="18"/>
          <w:szCs w:val="18"/>
        </w:rPr>
        <w:t xml:space="preserve">asické </w:t>
      </w:r>
      <w:r w:rsidR="008A4CDB" w:rsidRPr="008A4CDB">
        <w:rPr>
          <w:i/>
          <w:sz w:val="18"/>
          <w:szCs w:val="18"/>
        </w:rPr>
        <w:t>hodno</w:t>
      </w:r>
      <w:r w:rsidR="008A4CDB">
        <w:rPr>
          <w:i/>
          <w:sz w:val="18"/>
          <w:szCs w:val="18"/>
        </w:rPr>
        <w:t>tenie</w:t>
      </w:r>
      <w:r>
        <w:rPr>
          <w:i/>
          <w:sz w:val="18"/>
          <w:szCs w:val="18"/>
        </w:rPr>
        <w:t xml:space="preserve"> samostatných dlhodobých úloh a </w:t>
      </w:r>
      <w:r w:rsidR="008A4CDB" w:rsidRPr="008A4CDB">
        <w:rPr>
          <w:i/>
          <w:sz w:val="18"/>
          <w:szCs w:val="18"/>
        </w:rPr>
        <w:t xml:space="preserve"> krátkodobých </w:t>
      </w:r>
      <w:proofErr w:type="spellStart"/>
      <w:r w:rsidR="008A4CDB" w:rsidRPr="008A4CDB">
        <w:rPr>
          <w:i/>
          <w:sz w:val="18"/>
          <w:szCs w:val="18"/>
        </w:rPr>
        <w:t>časovo-oh</w:t>
      </w:r>
      <w:r>
        <w:rPr>
          <w:i/>
          <w:sz w:val="18"/>
          <w:szCs w:val="18"/>
        </w:rPr>
        <w:t>raničených</w:t>
      </w:r>
      <w:proofErr w:type="spellEnd"/>
      <w:r>
        <w:rPr>
          <w:i/>
          <w:sz w:val="18"/>
          <w:szCs w:val="18"/>
        </w:rPr>
        <w:t xml:space="preserve"> úloh (EDUPAGE testy)  formou  známky, pri  domácej úlohe som  hodnotil formou  splnil/nesplnil</w:t>
      </w:r>
      <w:r w:rsidR="001704E3">
        <w:rPr>
          <w:i/>
          <w:sz w:val="18"/>
          <w:szCs w:val="18"/>
        </w:rPr>
        <w:t xml:space="preserve"> –</w:t>
      </w:r>
      <w:r w:rsidR="001D7C25">
        <w:rPr>
          <w:i/>
          <w:sz w:val="18"/>
          <w:szCs w:val="18"/>
        </w:rPr>
        <w:t xml:space="preserve"> p</w:t>
      </w:r>
      <w:r w:rsidR="001704E3">
        <w:rPr>
          <w:i/>
          <w:sz w:val="18"/>
          <w:szCs w:val="18"/>
        </w:rPr>
        <w:t>re  všetky  ročníky  z predmetov  DEJ a  OBN</w:t>
      </w: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Default="008A4CDB" w:rsidP="00AC5B87">
      <w:pPr>
        <w:spacing w:after="0" w:line="276" w:lineRule="auto"/>
        <w:rPr>
          <w:sz w:val="20"/>
          <w:szCs w:val="20"/>
        </w:rPr>
      </w:pPr>
    </w:p>
    <w:p w:rsidR="008D5B34" w:rsidRDefault="008D5B34" w:rsidP="008D5B34">
      <w:pPr>
        <w:spacing w:after="0" w:line="276" w:lineRule="auto"/>
        <w:rPr>
          <w:sz w:val="20"/>
          <w:szCs w:val="20"/>
        </w:rPr>
      </w:pPr>
    </w:p>
    <w:p w:rsidR="008D5B34" w:rsidRDefault="008D5B34" w:rsidP="008D5B34">
      <w:pPr>
        <w:spacing w:after="0" w:line="276" w:lineRule="auto"/>
        <w:rPr>
          <w:b/>
        </w:rPr>
      </w:pPr>
      <w:r>
        <w:rPr>
          <w:b/>
        </w:rPr>
        <w:t>Vlastné zhodnotenie dištančného vzdelávania:</w:t>
      </w:r>
    </w:p>
    <w:p w:rsidR="008D5B34" w:rsidRDefault="008D5B34" w:rsidP="008D5B34">
      <w:pPr>
        <w:spacing w:after="0" w:line="276" w:lineRule="auto"/>
        <w:rPr>
          <w:i/>
          <w:sz w:val="18"/>
          <w:szCs w:val="18"/>
        </w:rPr>
      </w:pPr>
    </w:p>
    <w:p w:rsidR="008D5B34" w:rsidRDefault="008D5B34" w:rsidP="008D5B34">
      <w:pPr>
        <w:spacing w:after="0" w:line="276" w:lineRule="auto"/>
        <w:rPr>
          <w:sz w:val="20"/>
          <w:szCs w:val="20"/>
        </w:rPr>
      </w:pPr>
      <w:r>
        <w:rPr>
          <w:i/>
          <w:sz w:val="18"/>
          <w:szCs w:val="18"/>
        </w:rPr>
        <w:t>Dištančné  vzdelávanie vzhľadom na  všetky okolnosti, ktoré zvážim považujem za krajnú možnosť vzdelávania, ktorá v žiadnych aspektoch nezohľadňu</w:t>
      </w:r>
      <w:r w:rsidR="00CE0943">
        <w:rPr>
          <w:i/>
          <w:sz w:val="18"/>
          <w:szCs w:val="18"/>
        </w:rPr>
        <w:t xml:space="preserve">je autenticitu a objektívnosť v </w:t>
      </w:r>
      <w:r>
        <w:rPr>
          <w:i/>
          <w:sz w:val="18"/>
          <w:szCs w:val="18"/>
        </w:rPr>
        <w:t xml:space="preserve">dvoch  </w:t>
      </w:r>
      <w:r w:rsidR="007B79DF">
        <w:rPr>
          <w:i/>
          <w:sz w:val="18"/>
          <w:szCs w:val="18"/>
        </w:rPr>
        <w:t>základných zložkách</w:t>
      </w:r>
      <w:r>
        <w:rPr>
          <w:i/>
          <w:sz w:val="18"/>
          <w:szCs w:val="18"/>
        </w:rPr>
        <w:t xml:space="preserve">, a to </w:t>
      </w:r>
      <w:r w:rsidR="00CE0943">
        <w:rPr>
          <w:i/>
          <w:sz w:val="18"/>
          <w:szCs w:val="18"/>
        </w:rPr>
        <w:t xml:space="preserve">je </w:t>
      </w:r>
      <w:r>
        <w:rPr>
          <w:i/>
          <w:sz w:val="18"/>
          <w:szCs w:val="18"/>
        </w:rPr>
        <w:t>poskytovanie nových poznatkov  a</w:t>
      </w:r>
      <w:r w:rsidR="007B79DF">
        <w:rPr>
          <w:i/>
          <w:sz w:val="18"/>
          <w:szCs w:val="18"/>
        </w:rPr>
        <w:t> </w:t>
      </w:r>
      <w:r w:rsidR="006D097F">
        <w:rPr>
          <w:i/>
          <w:sz w:val="18"/>
          <w:szCs w:val="18"/>
        </w:rPr>
        <w:t>vedomostí</w:t>
      </w:r>
      <w:r w:rsidR="007B79DF">
        <w:rPr>
          <w:i/>
          <w:sz w:val="18"/>
          <w:szCs w:val="18"/>
        </w:rPr>
        <w:t xml:space="preserve">, ako i v </w:t>
      </w:r>
      <w:r>
        <w:rPr>
          <w:i/>
          <w:sz w:val="18"/>
          <w:szCs w:val="18"/>
        </w:rPr>
        <w:t xml:space="preserve">samotnom  hodnotení nadobudnutých  vedomostí. </w:t>
      </w:r>
      <w:r w:rsidR="007F03AC">
        <w:rPr>
          <w:i/>
          <w:sz w:val="18"/>
          <w:szCs w:val="18"/>
        </w:rPr>
        <w:t>Súhrn  informácií poskytnutých  zo strany  učiteľa (prezentácia, zadanie  úloh, alebo štúdium textového materiálu)</w:t>
      </w:r>
      <w:r w:rsidR="006D097F">
        <w:rPr>
          <w:i/>
          <w:sz w:val="18"/>
          <w:szCs w:val="18"/>
        </w:rPr>
        <w:t xml:space="preserve"> </w:t>
      </w:r>
      <w:r w:rsidR="007F03AC">
        <w:rPr>
          <w:i/>
          <w:sz w:val="18"/>
          <w:szCs w:val="18"/>
        </w:rPr>
        <w:t>jednosmernou cestou dáva minimálny  priestor  na  spätnú väzbu, čo  pochopiteľne  sťažuje učiteľ</w:t>
      </w:r>
      <w:r w:rsidR="007B79DF">
        <w:rPr>
          <w:i/>
          <w:sz w:val="18"/>
          <w:szCs w:val="18"/>
        </w:rPr>
        <w:t xml:space="preserve">ovi poznať do akej miery bolo </w:t>
      </w:r>
      <w:r w:rsidR="007F03AC">
        <w:rPr>
          <w:i/>
          <w:sz w:val="18"/>
          <w:szCs w:val="18"/>
        </w:rPr>
        <w:t>zadané učivo i pochopené. V prípade</w:t>
      </w:r>
      <w:r w:rsidR="007B79DF">
        <w:rPr>
          <w:i/>
          <w:sz w:val="18"/>
          <w:szCs w:val="18"/>
        </w:rPr>
        <w:t xml:space="preserve">  hodnotenia má neobjektívnosť ešte</w:t>
      </w:r>
      <w:r w:rsidR="007F03AC">
        <w:rPr>
          <w:i/>
          <w:sz w:val="18"/>
          <w:szCs w:val="18"/>
        </w:rPr>
        <w:t xml:space="preserve"> väčšie nedostatky. Nevieme  a nemôžeme poznať v akom prostredí žiak  pracuje. Či má  dostatočné a rovnocenné </w:t>
      </w:r>
      <w:r w:rsidR="00C61A6B">
        <w:rPr>
          <w:i/>
          <w:sz w:val="18"/>
          <w:szCs w:val="18"/>
        </w:rPr>
        <w:t>podmienky ako</w:t>
      </w:r>
      <w:r w:rsidR="00BE6E3C">
        <w:rPr>
          <w:i/>
          <w:sz w:val="18"/>
          <w:szCs w:val="18"/>
        </w:rPr>
        <w:t xml:space="preserve"> ostatní</w:t>
      </w:r>
      <w:r w:rsidR="007F03AC">
        <w:rPr>
          <w:i/>
          <w:sz w:val="18"/>
          <w:szCs w:val="18"/>
        </w:rPr>
        <w:t xml:space="preserve"> z hľadis</w:t>
      </w:r>
      <w:r w:rsidR="00C61A6B">
        <w:rPr>
          <w:i/>
          <w:sz w:val="18"/>
          <w:szCs w:val="18"/>
        </w:rPr>
        <w:t xml:space="preserve">ka  materiálneho  zabezpečenia alebo </w:t>
      </w:r>
      <w:r w:rsidR="00BE6E3C">
        <w:rPr>
          <w:i/>
          <w:sz w:val="18"/>
          <w:szCs w:val="18"/>
        </w:rPr>
        <w:t>rodinné</w:t>
      </w:r>
      <w:r w:rsidR="00C61A6B">
        <w:rPr>
          <w:i/>
          <w:sz w:val="18"/>
          <w:szCs w:val="18"/>
        </w:rPr>
        <w:t xml:space="preserve">ho zázemie. </w:t>
      </w:r>
      <w:r w:rsidR="00BE6E3C">
        <w:rPr>
          <w:i/>
          <w:sz w:val="18"/>
          <w:szCs w:val="18"/>
        </w:rPr>
        <w:t>Miesto toho aby sme  sa  pozreli  žiakovi do očí a posudzovali ho  a</w:t>
      </w:r>
      <w:r w:rsidR="00C61A6B">
        <w:rPr>
          <w:i/>
          <w:sz w:val="18"/>
          <w:szCs w:val="18"/>
        </w:rPr>
        <w:t>ko komplexnú osobnosť, vnímame na monitore</w:t>
      </w:r>
      <w:r w:rsidR="00BE6E3C">
        <w:rPr>
          <w:i/>
          <w:sz w:val="18"/>
          <w:szCs w:val="18"/>
        </w:rPr>
        <w:t xml:space="preserve"> len jeho  sekundárny preja</w:t>
      </w:r>
      <w:r w:rsidR="006D097F">
        <w:rPr>
          <w:i/>
          <w:sz w:val="18"/>
          <w:szCs w:val="18"/>
        </w:rPr>
        <w:t>vy</w:t>
      </w:r>
      <w:r w:rsidR="007B79DF">
        <w:rPr>
          <w:i/>
          <w:sz w:val="18"/>
          <w:szCs w:val="18"/>
        </w:rPr>
        <w:t xml:space="preserve">, ako a </w:t>
      </w:r>
      <w:r w:rsidR="006D097F">
        <w:rPr>
          <w:i/>
          <w:sz w:val="18"/>
          <w:szCs w:val="18"/>
        </w:rPr>
        <w:t xml:space="preserve">čo vyplnil </w:t>
      </w:r>
      <w:r w:rsidR="007B79DF">
        <w:rPr>
          <w:i/>
          <w:sz w:val="18"/>
          <w:szCs w:val="18"/>
        </w:rPr>
        <w:t xml:space="preserve">, </w:t>
      </w:r>
      <w:r w:rsidR="00BE6E3C">
        <w:rPr>
          <w:i/>
          <w:sz w:val="18"/>
          <w:szCs w:val="18"/>
        </w:rPr>
        <w:t>ako napísal  test, vypracoval projekt... V niektorých predmetov to na  posúdenie  vedomostí  stačí, no  v prípade  DEJ a</w:t>
      </w:r>
      <w:r w:rsidR="00C61A6B">
        <w:rPr>
          <w:i/>
          <w:sz w:val="18"/>
          <w:szCs w:val="18"/>
        </w:rPr>
        <w:t> </w:t>
      </w:r>
      <w:r w:rsidR="00BE6E3C">
        <w:rPr>
          <w:i/>
          <w:sz w:val="18"/>
          <w:szCs w:val="18"/>
        </w:rPr>
        <w:t>OBN</w:t>
      </w:r>
      <w:r w:rsidR="00C61A6B">
        <w:rPr>
          <w:i/>
          <w:sz w:val="18"/>
          <w:szCs w:val="18"/>
        </w:rPr>
        <w:t xml:space="preserve"> vzhľadom na isté špecifiká </w:t>
      </w:r>
      <w:r w:rsidR="00BE6E3C">
        <w:rPr>
          <w:i/>
          <w:sz w:val="18"/>
          <w:szCs w:val="18"/>
        </w:rPr>
        <w:t xml:space="preserve"> je  to komplikovanejšie. </w:t>
      </w:r>
      <w:r w:rsidR="008830CC">
        <w:rPr>
          <w:i/>
          <w:sz w:val="18"/>
          <w:szCs w:val="18"/>
        </w:rPr>
        <w:t xml:space="preserve"> Ďalšou problematickou  zložkou je samotná </w:t>
      </w:r>
      <w:r w:rsidR="00AD4AD8">
        <w:rPr>
          <w:i/>
          <w:sz w:val="18"/>
          <w:szCs w:val="18"/>
        </w:rPr>
        <w:t xml:space="preserve">hodnovernosť </w:t>
      </w:r>
      <w:r w:rsidR="008830CC">
        <w:rPr>
          <w:i/>
          <w:sz w:val="18"/>
          <w:szCs w:val="18"/>
        </w:rPr>
        <w:t xml:space="preserve">pri posudzovaní výstupných prác žiaka. Máme  k dispozícii len dôveru alebo nedôveru, že výstupné práce žiaka zodpovedajú i skutočným jeho vedomostiam a znalostiam </w:t>
      </w:r>
      <w:r w:rsidR="00AD4AD8">
        <w:rPr>
          <w:i/>
          <w:sz w:val="18"/>
          <w:szCs w:val="18"/>
        </w:rPr>
        <w:t xml:space="preserve">z </w:t>
      </w:r>
      <w:r w:rsidR="00C61A6B">
        <w:rPr>
          <w:i/>
          <w:sz w:val="18"/>
          <w:szCs w:val="18"/>
        </w:rPr>
        <w:t>danej problematiky</w:t>
      </w:r>
      <w:r w:rsidR="008830CC">
        <w:rPr>
          <w:i/>
          <w:sz w:val="18"/>
          <w:szCs w:val="18"/>
        </w:rPr>
        <w:t xml:space="preserve">. Učiteľ však nemôže  v dištančnej forme pracovať s nedôverou, len na základe </w:t>
      </w:r>
      <w:r w:rsidR="00B731D6">
        <w:rPr>
          <w:i/>
          <w:sz w:val="18"/>
          <w:szCs w:val="18"/>
        </w:rPr>
        <w:t xml:space="preserve">určitých  stereotypov a </w:t>
      </w:r>
      <w:r w:rsidR="008830CC">
        <w:rPr>
          <w:i/>
          <w:sz w:val="18"/>
          <w:szCs w:val="18"/>
        </w:rPr>
        <w:t>osobných skúseností, ktoré má so ži</w:t>
      </w:r>
      <w:r w:rsidR="00C61A6B">
        <w:rPr>
          <w:i/>
          <w:sz w:val="18"/>
          <w:szCs w:val="18"/>
        </w:rPr>
        <w:t xml:space="preserve">akom. Môžeme  síce  tvrdiť, že </w:t>
      </w:r>
      <w:r w:rsidR="008830CC">
        <w:rPr>
          <w:i/>
          <w:sz w:val="18"/>
          <w:szCs w:val="18"/>
        </w:rPr>
        <w:t xml:space="preserve">vzorce správania sa len tak z mesiaca na mesiac  nemenia, ale nemôžeme  tomu dať znak  </w:t>
      </w:r>
      <w:proofErr w:type="spellStart"/>
      <w:r w:rsidR="008830CC">
        <w:rPr>
          <w:i/>
          <w:sz w:val="18"/>
          <w:szCs w:val="18"/>
        </w:rPr>
        <w:t>fakticity</w:t>
      </w:r>
      <w:proofErr w:type="spellEnd"/>
      <w:r w:rsidR="008830CC">
        <w:rPr>
          <w:i/>
          <w:sz w:val="18"/>
          <w:szCs w:val="18"/>
        </w:rPr>
        <w:t xml:space="preserve">. </w:t>
      </w:r>
      <w:r w:rsidR="006D097F">
        <w:rPr>
          <w:i/>
          <w:sz w:val="18"/>
          <w:szCs w:val="18"/>
        </w:rPr>
        <w:t xml:space="preserve">A to  ešte  nespomínam skutočnosť, že  nedôvera do profesionálnej i osobnostnej výbavy učiteľa  nepatrí. </w:t>
      </w:r>
      <w:r w:rsidR="00B731D6">
        <w:rPr>
          <w:i/>
          <w:sz w:val="18"/>
          <w:szCs w:val="18"/>
        </w:rPr>
        <w:t xml:space="preserve">V prípade  vyučovania  DEJ a OBN  je tu ešte jedna a dovolím </w:t>
      </w:r>
      <w:r w:rsidR="00C61A6B">
        <w:rPr>
          <w:i/>
          <w:sz w:val="18"/>
          <w:szCs w:val="18"/>
        </w:rPr>
        <w:t xml:space="preserve">si  tvrdiť  najdôležitejšia zložka </w:t>
      </w:r>
      <w:r w:rsidR="00B731D6">
        <w:rPr>
          <w:i/>
          <w:sz w:val="18"/>
          <w:szCs w:val="18"/>
        </w:rPr>
        <w:t>a to je formovanie osobnosti človeka, jeho</w:t>
      </w:r>
      <w:r w:rsidR="00646BAE">
        <w:rPr>
          <w:i/>
          <w:sz w:val="18"/>
          <w:szCs w:val="18"/>
        </w:rPr>
        <w:t xml:space="preserve"> názorový a hodnotový postoj k iným ľuďom okolo seba, k obyčajným predmetom, k prírode k spoločnosti, alebo v tej univerzálnej rovine, jeho  postoj k svetu. Práve  v dnešnom svete, ktorý je  zaplavený rôznymi </w:t>
      </w:r>
      <w:proofErr w:type="spellStart"/>
      <w:r w:rsidR="00646BAE">
        <w:rPr>
          <w:i/>
          <w:sz w:val="18"/>
          <w:szCs w:val="18"/>
        </w:rPr>
        <w:t>hoaxami</w:t>
      </w:r>
      <w:proofErr w:type="spellEnd"/>
      <w:r w:rsidR="00646BAE">
        <w:rPr>
          <w:i/>
          <w:sz w:val="18"/>
          <w:szCs w:val="18"/>
        </w:rPr>
        <w:t xml:space="preserve"> a dezinformáciami a ktorý pravdu relativizuje je potrebné viac  ako  inokedy  pracovať s mladým človekom</w:t>
      </w:r>
      <w:r w:rsidR="00657E8B">
        <w:rPr>
          <w:i/>
          <w:sz w:val="18"/>
          <w:szCs w:val="18"/>
        </w:rPr>
        <w:t xml:space="preserve">, no nie  jednosmerným kanálom mu vysvetľovať, </w:t>
      </w:r>
      <w:r w:rsidR="00C61A6B">
        <w:rPr>
          <w:i/>
          <w:sz w:val="18"/>
          <w:szCs w:val="18"/>
        </w:rPr>
        <w:t xml:space="preserve"> čo je </w:t>
      </w:r>
      <w:r w:rsidR="00657E8B">
        <w:rPr>
          <w:i/>
          <w:sz w:val="18"/>
          <w:szCs w:val="18"/>
        </w:rPr>
        <w:t xml:space="preserve">dobré, čo sa má, čo sa nesmie... Pravda, niekto môže namietať, že </w:t>
      </w:r>
      <w:r w:rsidR="00657E8B">
        <w:rPr>
          <w:sz w:val="18"/>
          <w:szCs w:val="18"/>
        </w:rPr>
        <w:t xml:space="preserve"> IKT </w:t>
      </w:r>
      <w:r w:rsidR="00657E8B" w:rsidRPr="00657E8B">
        <w:rPr>
          <w:sz w:val="18"/>
          <w:szCs w:val="18"/>
        </w:rPr>
        <w:t xml:space="preserve">myslí i na to a máme tu </w:t>
      </w:r>
      <w:proofErr w:type="spellStart"/>
      <w:r w:rsidR="00657E8B" w:rsidRPr="00657E8B">
        <w:rPr>
          <w:sz w:val="18"/>
          <w:szCs w:val="18"/>
        </w:rPr>
        <w:t>viedeo</w:t>
      </w:r>
      <w:r w:rsidR="00657E8B">
        <w:rPr>
          <w:sz w:val="18"/>
          <w:szCs w:val="18"/>
        </w:rPr>
        <w:t>konferenciu</w:t>
      </w:r>
      <w:proofErr w:type="spellEnd"/>
      <w:r w:rsidR="00657E8B">
        <w:rPr>
          <w:sz w:val="18"/>
          <w:szCs w:val="18"/>
        </w:rPr>
        <w:t xml:space="preserve">, no nie </w:t>
      </w:r>
      <w:r w:rsidR="007B79DF">
        <w:rPr>
          <w:sz w:val="18"/>
          <w:szCs w:val="18"/>
        </w:rPr>
        <w:t xml:space="preserve">každému táto forma  vyhovuje, nie každý </w:t>
      </w:r>
      <w:r w:rsidR="00657E8B">
        <w:rPr>
          <w:sz w:val="18"/>
          <w:szCs w:val="18"/>
        </w:rPr>
        <w:t>má z nej  dobrý pocit</w:t>
      </w:r>
      <w:r w:rsidR="00C61A6B">
        <w:rPr>
          <w:sz w:val="18"/>
          <w:szCs w:val="18"/>
        </w:rPr>
        <w:t xml:space="preserve"> a mne  osobne to vôbec nestačí</w:t>
      </w:r>
      <w:r w:rsidR="00657E8B">
        <w:rPr>
          <w:sz w:val="18"/>
          <w:szCs w:val="18"/>
        </w:rPr>
        <w:t>. Dištančné vzdeláva</w:t>
      </w:r>
      <w:r w:rsidR="007B79DF">
        <w:rPr>
          <w:sz w:val="18"/>
          <w:szCs w:val="18"/>
        </w:rPr>
        <w:t xml:space="preserve">nie je pre mňa z núdze cnosť a dúfam, že to bude len ojedinelá epizóda v našej pracovnej činnosti, </w:t>
      </w:r>
      <w:r w:rsidR="00C61A6B">
        <w:rPr>
          <w:sz w:val="18"/>
          <w:szCs w:val="18"/>
        </w:rPr>
        <w:t xml:space="preserve">ktorá môže spestriť, ale nikdy nemôže </w:t>
      </w:r>
      <w:r w:rsidR="007B79DF">
        <w:rPr>
          <w:sz w:val="18"/>
          <w:szCs w:val="18"/>
        </w:rPr>
        <w:t xml:space="preserve">nahradiť  osobný kontakt učiteľa a žiaka. </w:t>
      </w:r>
    </w:p>
    <w:p w:rsidR="008D5B34" w:rsidRDefault="008D5B34" w:rsidP="00AC5B87">
      <w:pPr>
        <w:spacing w:after="0" w:line="276" w:lineRule="auto"/>
        <w:rPr>
          <w:sz w:val="20"/>
          <w:szCs w:val="20"/>
        </w:rPr>
      </w:pPr>
      <w:bookmarkStart w:id="0" w:name="_GoBack"/>
      <w:bookmarkEnd w:id="0"/>
    </w:p>
    <w:p w:rsidR="008D5B34" w:rsidRDefault="008D5B34" w:rsidP="00AC5B87">
      <w:pPr>
        <w:spacing w:after="0" w:line="276" w:lineRule="auto"/>
        <w:rPr>
          <w:sz w:val="20"/>
          <w:szCs w:val="20"/>
        </w:rPr>
      </w:pPr>
    </w:p>
    <w:p w:rsidR="008D5B34" w:rsidRPr="008A4CDB" w:rsidRDefault="008D5B34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  <w:r w:rsidRPr="008A4CDB">
        <w:rPr>
          <w:sz w:val="20"/>
          <w:szCs w:val="20"/>
        </w:rPr>
        <w:t>V Gelnici dňa</w:t>
      </w:r>
      <w:r w:rsidR="00C945D5">
        <w:rPr>
          <w:sz w:val="20"/>
          <w:szCs w:val="20"/>
        </w:rPr>
        <w:t xml:space="preserve"> 29. 6. 2020</w:t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="00C945D5">
        <w:rPr>
          <w:sz w:val="20"/>
          <w:szCs w:val="20"/>
        </w:rPr>
        <w:t xml:space="preserve">Radúz </w:t>
      </w:r>
      <w:proofErr w:type="spellStart"/>
      <w:r w:rsidR="00C945D5">
        <w:rPr>
          <w:sz w:val="20"/>
          <w:szCs w:val="20"/>
        </w:rPr>
        <w:t>Burčák</w:t>
      </w:r>
      <w:proofErr w:type="spellEnd"/>
    </w:p>
    <w:sectPr w:rsidR="008A4CDB" w:rsidRPr="008A4CDB" w:rsidSect="00395637">
      <w:headerReference w:type="default" r:id="rId7"/>
      <w:footerReference w:type="default" r:id="rId8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98C" w:rsidRDefault="0083198C" w:rsidP="00491CC6">
      <w:pPr>
        <w:spacing w:after="0" w:line="240" w:lineRule="auto"/>
      </w:pPr>
      <w:r>
        <w:separator/>
      </w:r>
    </w:p>
  </w:endnote>
  <w:endnote w:type="continuationSeparator" w:id="0">
    <w:p w:rsidR="0083198C" w:rsidRDefault="0083198C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023146"/>
      <w:docPartObj>
        <w:docPartGallery w:val="Page Numbers (Bottom of Page)"/>
        <w:docPartUnique/>
      </w:docPartObj>
    </w:sdtPr>
    <w:sdtContent>
      <w:p w:rsidR="00395637" w:rsidRDefault="003C17A0">
        <w:pPr>
          <w:pStyle w:val="Pta"/>
          <w:jc w:val="center"/>
        </w:pPr>
        <w:r>
          <w:fldChar w:fldCharType="begin"/>
        </w:r>
        <w:r w:rsidR="00395637">
          <w:instrText>PAGE   \* MERGEFORMAT</w:instrText>
        </w:r>
        <w:r>
          <w:fldChar w:fldCharType="separate"/>
        </w:r>
        <w:r w:rsidR="00CA40BD">
          <w:rPr>
            <w:noProof/>
          </w:rPr>
          <w:t>1</w:t>
        </w:r>
        <w:r>
          <w:fldChar w:fldCharType="end"/>
        </w:r>
      </w:p>
    </w:sdtContent>
  </w:sdt>
  <w:p w:rsidR="00395637" w:rsidRDefault="00395637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98C" w:rsidRDefault="0083198C" w:rsidP="00491CC6">
      <w:pPr>
        <w:spacing w:after="0" w:line="240" w:lineRule="auto"/>
      </w:pPr>
      <w:r>
        <w:separator/>
      </w:r>
    </w:p>
  </w:footnote>
  <w:footnote w:type="continuationSeparator" w:id="0">
    <w:p w:rsidR="0083198C" w:rsidRDefault="0083198C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C6" w:rsidRDefault="00491CC6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1CC6"/>
    <w:rsid w:val="001017F7"/>
    <w:rsid w:val="00131709"/>
    <w:rsid w:val="001704E3"/>
    <w:rsid w:val="001D7C25"/>
    <w:rsid w:val="00212244"/>
    <w:rsid w:val="002163F3"/>
    <w:rsid w:val="002A63EA"/>
    <w:rsid w:val="002C1FB0"/>
    <w:rsid w:val="00395637"/>
    <w:rsid w:val="003C17A0"/>
    <w:rsid w:val="00411258"/>
    <w:rsid w:val="00437DDB"/>
    <w:rsid w:val="004822AD"/>
    <w:rsid w:val="00491CC6"/>
    <w:rsid w:val="00507D99"/>
    <w:rsid w:val="00646BAE"/>
    <w:rsid w:val="00657E8B"/>
    <w:rsid w:val="006D097F"/>
    <w:rsid w:val="007245A5"/>
    <w:rsid w:val="007B79DF"/>
    <w:rsid w:val="007C4A76"/>
    <w:rsid w:val="007F03AC"/>
    <w:rsid w:val="0083198C"/>
    <w:rsid w:val="008830CC"/>
    <w:rsid w:val="008A4CDB"/>
    <w:rsid w:val="008B4E71"/>
    <w:rsid w:val="008D5B34"/>
    <w:rsid w:val="00900BE8"/>
    <w:rsid w:val="009F7269"/>
    <w:rsid w:val="00AC5B87"/>
    <w:rsid w:val="00AD4AD8"/>
    <w:rsid w:val="00B731D6"/>
    <w:rsid w:val="00BC31D8"/>
    <w:rsid w:val="00BE6E3C"/>
    <w:rsid w:val="00C61A6B"/>
    <w:rsid w:val="00C945D5"/>
    <w:rsid w:val="00CA40BD"/>
    <w:rsid w:val="00CE0943"/>
    <w:rsid w:val="00D15CD3"/>
    <w:rsid w:val="00DA6643"/>
    <w:rsid w:val="00DC61E8"/>
    <w:rsid w:val="00F25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C17A0"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59"/>
    <w:rsid w:val="00D15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59"/>
    <w:rsid w:val="00D15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892</Words>
  <Characters>5088</Characters>
  <Application>Microsoft Office Word</Application>
  <DocSecurity>4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radbu</cp:lastModifiedBy>
  <cp:revision>2</cp:revision>
  <dcterms:created xsi:type="dcterms:W3CDTF">2020-07-02T09:44:00Z</dcterms:created>
  <dcterms:modified xsi:type="dcterms:W3CDTF">2020-07-02T09:44:00Z</dcterms:modified>
</cp:coreProperties>
</file>