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27D5" w14:textId="138B0828" w:rsidR="00301B55" w:rsidRPr="00301B55" w:rsidRDefault="00301B55" w:rsidP="00301B55">
      <w:pPr>
        <w:shd w:val="clear" w:color="auto" w:fill="FFFFFF"/>
        <w:spacing w:before="195" w:after="0" w:line="240" w:lineRule="auto"/>
        <w:jc w:val="center"/>
        <w:rPr>
          <w:rFonts w:cstheme="minorHAnsi"/>
          <w:sz w:val="24"/>
          <w:szCs w:val="24"/>
        </w:rPr>
      </w:pPr>
      <w:r w:rsidRPr="00301B55">
        <w:rPr>
          <w:rFonts w:cstheme="minorHAnsi"/>
          <w:sz w:val="24"/>
          <w:szCs w:val="24"/>
        </w:rPr>
        <w:t>LISABONSKA ZMLUVA</w:t>
      </w:r>
    </w:p>
    <w:p w14:paraId="5610701E" w14:textId="0AD3BC70" w:rsidR="00F921AD" w:rsidRDefault="00F921AD" w:rsidP="00F921A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>
        <w:rPr>
          <w:rFonts w:eastAsia="Times New Roman" w:cstheme="minorHAnsi"/>
          <w:color w:val="444444"/>
          <w:sz w:val="24"/>
          <w:szCs w:val="24"/>
          <w:lang w:eastAsia="sk-SK"/>
        </w:rPr>
        <w:t>KONTEXT</w:t>
      </w:r>
    </w:p>
    <w:p w14:paraId="1B245BAF" w14:textId="4CBEFD83" w:rsidR="00F921AD" w:rsidRPr="00301B55" w:rsidRDefault="00F921AD" w:rsidP="00F921A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Lisabonská zmluva je do značnej miery inšpirovaná Zmluvou o Ústave pre Európu. Ústavou sa mali nahradiť zakladajúce zmluvy EÚ jediným textom. Bola podpísaná v Ríme 29. októbra 2004. Aby ústava nadobudla účinnosť, bolo potrebné, aby ju ratifikovalo všetkých (v tom čase) 27 členských krajín EÚ (17 ratifikovalo). V roku 2005 ju však v národných referendách odmietli vo Francúzsku a Holandsku.</w:t>
      </w:r>
    </w:p>
    <w:p w14:paraId="3B53DBCF" w14:textId="6AEB488C" w:rsidR="00F921AD" w:rsidRDefault="00F921AD" w:rsidP="00F921A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Na druhej strane sa Lisabonskou zmluvou tieto zmluvy menia, rovnako ako </w:t>
      </w:r>
      <w:hyperlink r:id="rId5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Amsterdamskou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zmluvou a Zmluvou z </w:t>
      </w:r>
      <w:proofErr w:type="spellStart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fldChar w:fldCharType="begin"/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instrText xml:space="preserve"> HYPERLINK "https://eur-lex.europa.eu/legal-content/SK/AUTO/?uri=celex:12001C/TXT" </w:instrText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fldChar w:fldCharType="separate"/>
      </w:r>
      <w:r w:rsidRPr="00301B55">
        <w:rPr>
          <w:rFonts w:eastAsia="Times New Roman" w:cstheme="minorHAnsi"/>
          <w:color w:val="800080"/>
          <w:sz w:val="24"/>
          <w:szCs w:val="24"/>
          <w:u w:val="single"/>
          <w:lang w:eastAsia="sk-SK"/>
        </w:rPr>
        <w:t>Nice</w:t>
      </w:r>
      <w:proofErr w:type="spellEnd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fldChar w:fldCharType="end"/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. Zahŕňa väčšinu inštitucionálnych a politických reforiem uvedených v ústavnej zmluve</w:t>
      </w:r>
      <w:r>
        <w:rPr>
          <w:rFonts w:eastAsia="Times New Roman" w:cstheme="minorHAnsi"/>
          <w:color w:val="444444"/>
          <w:sz w:val="24"/>
          <w:szCs w:val="24"/>
          <w:lang w:eastAsia="sk-SK"/>
        </w:rPr>
        <w:t>.</w:t>
      </w:r>
    </w:p>
    <w:p w14:paraId="5F4B230F" w14:textId="44492D62" w:rsidR="00F921AD" w:rsidRDefault="00F921AD" w:rsidP="00F921AD">
      <w:p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  <w:lang w:eastAsia="sk-SK"/>
        </w:rPr>
        <w:t>---------------------------------------------------------------------------------------------------------------------------</w:t>
      </w:r>
    </w:p>
    <w:p w14:paraId="727723F0" w14:textId="2557FB63" w:rsidR="00465DCF" w:rsidRPr="00301B55" w:rsidRDefault="00465DCF" w:rsidP="00F921A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hyperlink r:id="rId6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Lisabonská zmluva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, ktorou sa mení a dopĺňa Zmluva o Európskej únii a Zmluva o založení Európskeho spoločenstva, podpísaná v Lisabone 13. decembra 2007 </w:t>
      </w:r>
    </w:p>
    <w:p w14:paraId="01740A08" w14:textId="36B18D6D" w:rsidR="00CE346F" w:rsidRDefault="00465DCF" w:rsidP="00F921AD">
      <w:pPr>
        <w:pStyle w:val="Normlnywebov"/>
        <w:shd w:val="clear" w:color="auto" w:fill="FFFFFF"/>
        <w:spacing w:before="0" w:beforeAutospacing="0" w:after="0" w:afterAutospacing="0" w:line="240" w:lineRule="atLeast"/>
        <w:jc w:val="both"/>
        <w:rPr>
          <w:rFonts w:asciiTheme="minorHAnsi" w:hAnsiTheme="minorHAnsi" w:cstheme="minorHAnsi"/>
          <w:color w:val="474747"/>
        </w:rPr>
      </w:pPr>
      <w:r w:rsidRPr="00301B55">
        <w:rPr>
          <w:rFonts w:asciiTheme="minorHAnsi" w:hAnsiTheme="minorHAnsi" w:cstheme="minorHAnsi"/>
          <w:color w:val="474747"/>
        </w:rPr>
        <w:t>Lisabonská zmluva nadobudla platnosť 1. 12. 2009. Od tohto dátumu boli podstatne zmenené dve zmluvy, na ktorých stálo Európske spoločenstvo a Európska únia. Doposiaľ platné zakladajúce zmluvy – Zmluva o založení Európskeho spoločenstva a Zmluva o Európskej únii– boli Lisabonskou zmluvou novelizované, a to tak, že formálne zo Zmluvy o založení Európskeho spoločenstva sa stala Zmluva o fungovaní Európskej únie. Označenie Zmluvy o Európskej únii zostalo zachované. O jej obsahu, ako aj obsahu bývalej Zmluvy o založení Európskeho spoločenstva to už tvrdiť nemožno. Lisabonskou zmluvou zostala nedotknutá Zmluva o založení Európskeho spoločenstva pre atómovú energiu, takže popri Európskej únii bude existovať jedno samostatné spoločenstvo – Európske spoločenstvo pre atómovú energiu.</w:t>
      </w:r>
    </w:p>
    <w:p w14:paraId="66EFDFCC" w14:textId="77777777" w:rsidR="00F921AD" w:rsidRPr="00F921AD" w:rsidRDefault="00F921AD" w:rsidP="00301B55">
      <w:pPr>
        <w:pStyle w:val="Normlnywebov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b/>
          <w:color w:val="474747"/>
        </w:rPr>
      </w:pPr>
    </w:p>
    <w:p w14:paraId="548A9C3A" w14:textId="5697325D" w:rsidR="00301B55" w:rsidRPr="00301B55" w:rsidRDefault="00465DCF" w:rsidP="00301B55">
      <w:pPr>
        <w:pStyle w:val="Normlnywebov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474747"/>
        </w:rPr>
      </w:pPr>
      <w:r w:rsidRPr="00301B55">
        <w:rPr>
          <w:rFonts w:asciiTheme="minorHAnsi" w:hAnsiTheme="minorHAnsi" w:cstheme="minorHAnsi"/>
          <w:color w:val="474747"/>
        </w:rPr>
        <w:t xml:space="preserve"> </w:t>
      </w:r>
    </w:p>
    <w:p w14:paraId="5F8BFFEC" w14:textId="63A6E459" w:rsidR="001F70DB" w:rsidRPr="00301B55" w:rsidRDefault="00301B55" w:rsidP="00301B55">
      <w:pPr>
        <w:pStyle w:val="Normlnywebov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b/>
          <w:bCs/>
          <w:color w:val="444444"/>
        </w:rPr>
      </w:pPr>
      <w:r w:rsidRPr="00301B55">
        <w:rPr>
          <w:rFonts w:asciiTheme="minorHAnsi" w:hAnsiTheme="minorHAnsi" w:cstheme="minorHAnsi"/>
          <w:b/>
          <w:bCs/>
          <w:color w:val="444444"/>
        </w:rPr>
        <w:t>Cieľ Lisabonskej zmluvy :</w:t>
      </w:r>
    </w:p>
    <w:p w14:paraId="18E5FC25" w14:textId="77777777" w:rsidR="001F70DB" w:rsidRPr="00301B55" w:rsidRDefault="001F70DB" w:rsidP="00301B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Reformuje sa ňou fungovanie inštitúcií EÚ a prijímanie rozhodnutí tak, aby zodpovedali potrebám EÚ, ktorá sa po postupnom rozširovaní rozrástla na 28 členov.</w:t>
      </w:r>
    </w:p>
    <w:p w14:paraId="1744F014" w14:textId="77777777" w:rsidR="00301B55" w:rsidRPr="00301B55" w:rsidRDefault="001F70DB" w:rsidP="00301B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Reformujú sa ňou vnútorné a vonkajšie politiky EÚ a tým, že sa ňou Európskemu parlamentu udeľuje väčšia zákonodarná moc, prehlbuje sa demokracia rozhodovania EÚ.</w:t>
      </w:r>
    </w:p>
    <w:p w14:paraId="2DC53955" w14:textId="77777777" w:rsidR="00301B55" w:rsidRDefault="00301B55" w:rsidP="00301B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</w:pPr>
    </w:p>
    <w:p w14:paraId="02920050" w14:textId="6EFAFCE8" w:rsidR="001F70DB" w:rsidRPr="00301B55" w:rsidRDefault="001F70DB" w:rsidP="00301B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  <w:t>HLAVNÉ BODY</w:t>
      </w:r>
    </w:p>
    <w:p w14:paraId="3622B350" w14:textId="77777777" w:rsidR="001F70DB" w:rsidRPr="00301B55" w:rsidRDefault="001F70DB" w:rsidP="00301B55">
      <w:pPr>
        <w:pStyle w:val="Odsekzoznamu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  <w:t>Inštitucionálne zmeny</w:t>
      </w:r>
    </w:p>
    <w:p w14:paraId="6C45CB05" w14:textId="77777777" w:rsidR="001F70DB" w:rsidRPr="00301B55" w:rsidRDefault="002A62C4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hyperlink r:id="rId7" w:history="1">
        <w:r w:rsidR="001F70DB" w:rsidRPr="00301B55">
          <w:rPr>
            <w:rFonts w:eastAsia="Times New Roman" w:cstheme="minorHAnsi"/>
            <w:b/>
            <w:bCs/>
            <w:i/>
            <w:iCs/>
            <w:color w:val="800080"/>
            <w:sz w:val="24"/>
            <w:szCs w:val="24"/>
            <w:u w:val="single"/>
            <w:lang w:eastAsia="sk-SK"/>
          </w:rPr>
          <w:t>Európsky parlament</w:t>
        </w:r>
      </w:hyperlink>
    </w:p>
    <w:p w14:paraId="4C8A702F" w14:textId="77777777" w:rsidR="001F70DB" w:rsidRPr="00301B55" w:rsidRDefault="001F70DB" w:rsidP="00301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 teraz skladá zo zástupcov občanov EÚ a nie z národov krajín EÚ ako predtým, čím sa vytvára silnejšie demokratické prepojenie medzi poslancami Európskeho parlamentu a voličmi;</w:t>
      </w:r>
    </w:p>
    <w:p w14:paraId="75FE8E2B" w14:textId="77777777" w:rsidR="001F70DB" w:rsidRPr="00301B55" w:rsidRDefault="001F70DB" w:rsidP="00301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má väčšiu zákonodarnú moc, pretože sa uplatňuje </w:t>
      </w:r>
      <w:hyperlink r:id="rId8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riadny legislatívny postup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. Lisabonskou zmluvou sa uplatňovanie tohto postupu rozširuje na </w:t>
      </w:r>
      <w:hyperlink r:id="rId9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40 nových oblastí politiky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, čím sa celkový počet oblastí, kde pri prijímaní právnych predpisov má Parlament a Rada rovnaké postavenie, zvyšuje na 73 oblastí;</w:t>
      </w:r>
    </w:p>
    <w:p w14:paraId="41A0F252" w14:textId="77777777" w:rsidR="001F70DB" w:rsidRPr="00301B55" w:rsidRDefault="001F70DB" w:rsidP="00301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volí </w:t>
      </w:r>
      <w:hyperlink r:id="rId10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predsedu Európskej komisie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väčšinou svojich členov;</w:t>
      </w:r>
    </w:p>
    <w:p w14:paraId="567D0071" w14:textId="77777777" w:rsidR="001F70DB" w:rsidRPr="00301B55" w:rsidRDefault="001F70DB" w:rsidP="00301B5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má maximálne 751 členov.</w:t>
      </w:r>
    </w:p>
    <w:p w14:paraId="1486C1ED" w14:textId="77777777" w:rsidR="001F70DB" w:rsidRPr="00301B55" w:rsidRDefault="002A62C4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hyperlink r:id="rId11" w:history="1">
        <w:r w:rsidR="001F70DB" w:rsidRPr="00301B55">
          <w:rPr>
            <w:rFonts w:eastAsia="Times New Roman" w:cstheme="minorHAnsi"/>
            <w:b/>
            <w:bCs/>
            <w:i/>
            <w:iCs/>
            <w:color w:val="800080"/>
            <w:sz w:val="24"/>
            <w:szCs w:val="24"/>
            <w:u w:val="single"/>
            <w:lang w:eastAsia="sk-SK"/>
          </w:rPr>
          <w:t>Európska rada</w:t>
        </w:r>
      </w:hyperlink>
    </w:p>
    <w:p w14:paraId="10CA5088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Skladá sa z hláv štátov alebo vlád, čo zabezpečuje EÚ väčšiu kontinuitu a súdržnosť. Oficiálne sa uznáva ako inštitúcia EÚ, ktorá stanovuje všeobecné politické smerovanie EÚ a jej priority.</w:t>
      </w:r>
    </w:p>
    <w:p w14:paraId="3C80240F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lastRenderedPageBreak/>
        <w:t>Väčšinou hlasov volí predsedu na funkčné obdobie 30 mesiacov, ktoré možno raz obnoviť, čím sa nahrádza predchádzajúce šesťmesačné rotujúce predsedníctvo.</w:t>
      </w:r>
    </w:p>
    <w:p w14:paraId="1AF42533" w14:textId="77777777" w:rsidR="001F70DB" w:rsidRPr="00301B55" w:rsidRDefault="002A62C4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hyperlink r:id="rId12" w:history="1">
        <w:r w:rsidR="001F70DB" w:rsidRPr="00301B55">
          <w:rPr>
            <w:rFonts w:eastAsia="Times New Roman" w:cstheme="minorHAnsi"/>
            <w:b/>
            <w:bCs/>
            <w:i/>
            <w:iCs/>
            <w:color w:val="800080"/>
            <w:sz w:val="24"/>
            <w:szCs w:val="24"/>
            <w:u w:val="single"/>
            <w:lang w:eastAsia="sk-SK"/>
          </w:rPr>
          <w:t>Rada</w:t>
        </w:r>
      </w:hyperlink>
    </w:p>
    <w:p w14:paraId="2343CF86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Pri schvaľovaní právnych predpisov uplatňuje nové pravidlá hlasovania väčšinou hlasov. Na dosiahnutie väčšiny sa vyžaduje aspoň 55 % krajín EÚ, ktoré predstavujú najmenej 65 % obyvateľstva EÚ. Na zablokovanie návrhu musia byť proti aspoň 4 krajiny.</w:t>
      </w:r>
    </w:p>
    <w:p w14:paraId="7B7D11C8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Keď Rada rokuje a hlasuje o návrhu legislatívneho aktu, sú jej zasadnutia verejné.</w:t>
      </w:r>
    </w:p>
    <w:p w14:paraId="08201827" w14:textId="77777777" w:rsidR="001F70DB" w:rsidRPr="00301B55" w:rsidRDefault="002A62C4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hyperlink r:id="rId13" w:history="1">
        <w:r w:rsidR="001F70DB" w:rsidRPr="00301B55">
          <w:rPr>
            <w:rFonts w:eastAsia="Times New Roman" w:cstheme="minorHAnsi"/>
            <w:b/>
            <w:bCs/>
            <w:i/>
            <w:iCs/>
            <w:color w:val="800080"/>
            <w:sz w:val="24"/>
            <w:szCs w:val="24"/>
            <w:u w:val="single"/>
            <w:lang w:eastAsia="sk-SK"/>
          </w:rPr>
          <w:t>Európska komisia</w:t>
        </w:r>
      </w:hyperlink>
    </w:p>
    <w:p w14:paraId="524B3242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Predseda Komisie:</w:t>
      </w:r>
    </w:p>
    <w:p w14:paraId="29D4009E" w14:textId="77777777" w:rsidR="001F70DB" w:rsidRPr="00301B55" w:rsidRDefault="001F70DB" w:rsidP="00301B5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 vyberá a volí na základe výsledkov európskych volieb;</w:t>
      </w:r>
    </w:p>
    <w:p w14:paraId="452883CA" w14:textId="77777777" w:rsidR="001F70DB" w:rsidRPr="00301B55" w:rsidRDefault="001F70DB" w:rsidP="00301B5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zodpovedá za menovanie komisárov, rozhoduje o ich portfóliách a môže jednotlivých komisárov požiadať, aby odstúpili.</w:t>
      </w:r>
    </w:p>
    <w:p w14:paraId="3E54C6C8" w14:textId="77777777" w:rsidR="001F70DB" w:rsidRPr="00301B55" w:rsidRDefault="002A62C4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hyperlink r:id="rId14" w:history="1">
        <w:r w:rsidR="001F70DB" w:rsidRPr="00301B55">
          <w:rPr>
            <w:rFonts w:eastAsia="Times New Roman" w:cstheme="minorHAnsi"/>
            <w:b/>
            <w:bCs/>
            <w:i/>
            <w:iCs/>
            <w:color w:val="800080"/>
            <w:sz w:val="24"/>
            <w:szCs w:val="24"/>
            <w:u w:val="single"/>
            <w:lang w:eastAsia="sk-SK"/>
          </w:rPr>
          <w:t>Súdny dvor Európskej únie</w:t>
        </w:r>
      </w:hyperlink>
    </w:p>
    <w:p w14:paraId="555ABDCC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Jeho právomoc sa rozširuje na všetky oblasti politiky EÚ okrem </w:t>
      </w:r>
      <w:hyperlink r:id="rId15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spoločnej zahraničnej a bezpečnostnej politiky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.</w:t>
      </w:r>
    </w:p>
    <w:p w14:paraId="15301E78" w14:textId="77777777" w:rsidR="001F70DB" w:rsidRPr="00301B55" w:rsidRDefault="002A62C4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hyperlink r:id="rId16" w:history="1">
        <w:r w:rsidR="001F70DB" w:rsidRPr="00301B55">
          <w:rPr>
            <w:rFonts w:eastAsia="Times New Roman" w:cstheme="minorHAnsi"/>
            <w:b/>
            <w:bCs/>
            <w:i/>
            <w:iCs/>
            <w:color w:val="800080"/>
            <w:sz w:val="24"/>
            <w:szCs w:val="24"/>
            <w:u w:val="single"/>
            <w:lang w:eastAsia="sk-SK"/>
          </w:rPr>
          <w:t>Európska centrálna banka (ECB)</w:t>
        </w:r>
      </w:hyperlink>
    </w:p>
    <w:p w14:paraId="720D8F86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Tým, že sa ECB uvádza v </w:t>
      </w:r>
      <w:hyperlink r:id="rId17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článku 13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Zmluvy o Európskej únii (ZEÚ), oficiálne sa uznáva ako inštitúcia EÚ.</w:t>
      </w:r>
    </w:p>
    <w:p w14:paraId="0D47EEC9" w14:textId="77777777" w:rsidR="001F70DB" w:rsidRPr="00301B55" w:rsidRDefault="001F70DB" w:rsidP="00301B55">
      <w:pPr>
        <w:pStyle w:val="Odsekzoznamu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sk-SK"/>
        </w:rPr>
        <w:t>Spoločná zahraničná a bezpečnostná politika</w:t>
      </w:r>
    </w:p>
    <w:p w14:paraId="1BA0461A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Zmluvou:</w:t>
      </w:r>
    </w:p>
    <w:p w14:paraId="6EAE05F2" w14:textId="77777777" w:rsidR="001F70DB" w:rsidRPr="00301B55" w:rsidRDefault="001F70DB" w:rsidP="00301B5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 ustanovuje nová funkcia podpredsedu Komisie a </w:t>
      </w:r>
      <w:hyperlink r:id="rId18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vysokého splnomocnenca pre spoločnú zahraničnú a bezpečnostnú politiku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. Táto osoba predsedá </w:t>
      </w:r>
      <w:hyperlink r:id="rId19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Rade pre zahraničné veci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(</w:t>
      </w:r>
      <w:hyperlink r:id="rId20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18 ZEÚ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);</w:t>
      </w:r>
    </w:p>
    <w:p w14:paraId="2526FF17" w14:textId="77777777" w:rsidR="001F70DB" w:rsidRPr="00301B55" w:rsidRDefault="001F70DB" w:rsidP="00301B5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 vytvára </w:t>
      </w:r>
      <w:hyperlink r:id="rId21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Európska služba pre vonkajšiu činnosť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, ktorá sa skladá z pracovníkov Komisie, Rady a národných diplomatických služieb;</w:t>
      </w:r>
    </w:p>
    <w:p w14:paraId="6414D7AA" w14:textId="77777777" w:rsidR="001F70DB" w:rsidRPr="00301B55" w:rsidRDefault="001F70DB" w:rsidP="00301B5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 zavádza </w:t>
      </w:r>
      <w:bookmarkStart w:id="0" w:name="_GoBack"/>
      <w:r w:rsidR="002A62C4" w:rsidRPr="00301B55">
        <w:rPr>
          <w:rFonts w:cstheme="minorHAnsi"/>
          <w:sz w:val="24"/>
          <w:szCs w:val="24"/>
        </w:rPr>
        <w:fldChar w:fldCharType="begin"/>
      </w:r>
      <w:r w:rsidR="002A62C4" w:rsidRPr="00301B55">
        <w:rPr>
          <w:rFonts w:cstheme="minorHAnsi"/>
          <w:sz w:val="24"/>
          <w:szCs w:val="24"/>
        </w:rPr>
        <w:instrText xml:space="preserve"> HYPERLINK "http://eur-lex.europa.eu/summary/glossary/mutual_defence.html" </w:instrText>
      </w:r>
      <w:r w:rsidR="002A62C4" w:rsidRPr="00301B55">
        <w:rPr>
          <w:rFonts w:cstheme="minorHAnsi"/>
          <w:sz w:val="24"/>
          <w:szCs w:val="24"/>
        </w:rPr>
        <w:fldChar w:fldCharType="separate"/>
      </w:r>
      <w:r w:rsidRPr="00301B55">
        <w:rPr>
          <w:rFonts w:eastAsia="Times New Roman" w:cstheme="minorHAnsi"/>
          <w:color w:val="800080"/>
          <w:sz w:val="24"/>
          <w:szCs w:val="24"/>
          <w:u w:val="single"/>
          <w:lang w:eastAsia="sk-SK"/>
        </w:rPr>
        <w:t>doložka o vzájomnej obrane</w:t>
      </w:r>
      <w:r w:rsidR="002A62C4" w:rsidRPr="00301B55">
        <w:rPr>
          <w:rFonts w:eastAsia="Times New Roman" w:cstheme="minorHAnsi"/>
          <w:color w:val="800080"/>
          <w:sz w:val="24"/>
          <w:szCs w:val="24"/>
          <w:u w:val="single"/>
          <w:lang w:eastAsia="sk-SK"/>
        </w:rPr>
        <w:fldChar w:fldCharType="end"/>
      </w:r>
      <w:bookmarkEnd w:id="0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, podľa ktorej musia všetky krajiny EÚ pomáhať sebe navzájom alebo inej krajine EÚ, ak ju napadnú.</w:t>
      </w:r>
    </w:p>
    <w:p w14:paraId="0EA28B73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  <w:t>Ďalšie zmeny</w:t>
      </w:r>
    </w:p>
    <w:p w14:paraId="0CCC6378" w14:textId="77777777" w:rsidR="001F70DB" w:rsidRPr="00301B55" w:rsidRDefault="001F70DB" w:rsidP="00301B55">
      <w:pPr>
        <w:pStyle w:val="Odsekzoznamu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sk-SK"/>
        </w:rPr>
        <w:t>Politiky EÚ</w:t>
      </w:r>
    </w:p>
    <w:p w14:paraId="181097E9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Predchádzajúca štruktúra pilierov sa nahrádza novým </w:t>
      </w:r>
      <w:hyperlink r:id="rId22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rozdelením právomocí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:</w:t>
      </w:r>
    </w:p>
    <w:p w14:paraId="4FA08AA7" w14:textId="77777777" w:rsidR="001F70DB" w:rsidRPr="00301B55" w:rsidRDefault="001F70DB" w:rsidP="00301B5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  <w:t>výlučná právomoc:</w:t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oblasti, kde legislatívnu činnosť vykonáva len EÚ a členské štáty túto legislatívu vykonávajú (</w:t>
      </w:r>
      <w:hyperlink r:id="rId23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3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Zmluvy o fungovaní Európskej únie (ZFEÚ));</w:t>
      </w:r>
    </w:p>
    <w:p w14:paraId="5CF40DAB" w14:textId="77777777" w:rsidR="001F70DB" w:rsidRPr="00301B55" w:rsidRDefault="001F70DB" w:rsidP="00301B5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  <w:t>spoločné právomoci:</w:t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oblasti, v ktorých krajiny EÚ môžu vykonávať legislatívnu činnosť a prijímať právne záväzné opatrenia, ak tak EÚ nevykonala (</w:t>
      </w:r>
      <w:hyperlink r:id="rId24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4 ZFEÚ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);</w:t>
      </w:r>
    </w:p>
    <w:p w14:paraId="19BD53A2" w14:textId="77777777" w:rsidR="001F70DB" w:rsidRPr="00301B55" w:rsidRDefault="001F70DB" w:rsidP="00301B5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  <w:t>podporné právomoci:</w:t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oblasti, v ktorých EÚ prijíma opatrenia na podporu, koordináciu alebo doplnenie vnútroštátnych politík (</w:t>
      </w:r>
      <w:hyperlink r:id="rId25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6 ZFEÚ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);</w:t>
      </w:r>
    </w:p>
    <w:p w14:paraId="0F3E20A8" w14:textId="77777777" w:rsidR="001F70DB" w:rsidRPr="00301B55" w:rsidRDefault="001F70DB" w:rsidP="00301B5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 xml:space="preserve">okrem toho všetky politiky vzťahujúce sa na hraničné kontroly, azyl a prisťahovalectvo, ako aj justičnú a policajnú spoluprácu sú zahrnuté do právomoci EÚ namiesto toho, aby za </w:t>
      </w:r>
      <w:proofErr w:type="spellStart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ne</w:t>
      </w:r>
      <w:proofErr w:type="spellEnd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 xml:space="preserve"> zodpovedali jednotlivé vlády ako predtým.</w:t>
      </w:r>
    </w:p>
    <w:p w14:paraId="5D77865A" w14:textId="77777777" w:rsidR="001F70DB" w:rsidRPr="00301B55" w:rsidRDefault="001F70DB" w:rsidP="00301B55">
      <w:pPr>
        <w:pStyle w:val="Odsekzoznamu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sk-SK"/>
        </w:rPr>
        <w:t>Prehĺbenie demokracie</w:t>
      </w:r>
    </w:p>
    <w:p w14:paraId="4D6A02CF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Zmluvou:</w:t>
      </w:r>
    </w:p>
    <w:p w14:paraId="36128B5E" w14:textId="77777777" w:rsidR="00F921AD" w:rsidRDefault="001F70DB" w:rsidP="00301B5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 xml:space="preserve">sa potvrdzujú tri základné zásady </w:t>
      </w:r>
      <w:r w:rsidR="00F921AD">
        <w:rPr>
          <w:rFonts w:eastAsia="Times New Roman" w:cstheme="minorHAnsi"/>
          <w:color w:val="444444"/>
          <w:sz w:val="24"/>
          <w:szCs w:val="24"/>
          <w:lang w:eastAsia="sk-SK"/>
        </w:rPr>
        <w:t>:</w:t>
      </w:r>
    </w:p>
    <w:p w14:paraId="4D728038" w14:textId="00796E18" w:rsidR="00C77A95" w:rsidRDefault="00F921AD" w:rsidP="00F921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sk-SK"/>
        </w:rPr>
      </w:pPr>
      <w:r>
        <w:rPr>
          <w:rFonts w:eastAsia="Times New Roman" w:cstheme="minorHAnsi"/>
          <w:color w:val="444444"/>
          <w:sz w:val="24"/>
          <w:szCs w:val="24"/>
          <w:lang w:eastAsia="sk-SK"/>
        </w:rPr>
        <w:t>-</w:t>
      </w:r>
      <w:r w:rsidR="001F70DB" w:rsidRPr="00301B55">
        <w:rPr>
          <w:rFonts w:eastAsia="Times New Roman" w:cstheme="minorHAnsi"/>
          <w:color w:val="444444"/>
          <w:sz w:val="24"/>
          <w:szCs w:val="24"/>
          <w:lang w:eastAsia="sk-SK"/>
        </w:rPr>
        <w:t>demokratickej rovnosti</w:t>
      </w:r>
      <w:hyperlink r:id="rId26" w:anchor="keyterm_E0001" w:history="1">
        <w:r w:rsidR="001F70DB"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*</w:t>
        </w:r>
      </w:hyperlink>
      <w:r w:rsidR="001F70DB" w:rsidRPr="00301B55">
        <w:rPr>
          <w:rFonts w:eastAsia="Times New Roman" w:cstheme="minorHAnsi"/>
          <w:color w:val="444444"/>
          <w:sz w:val="24"/>
          <w:szCs w:val="24"/>
          <w:lang w:eastAsia="sk-SK"/>
        </w:rPr>
        <w:t xml:space="preserve">, </w:t>
      </w:r>
      <w:r>
        <w:rPr>
          <w:rFonts w:eastAsia="Times New Roman" w:cstheme="minorHAnsi"/>
          <w:color w:val="444444"/>
          <w:sz w:val="24"/>
          <w:szCs w:val="24"/>
          <w:lang w:eastAsia="sk-SK"/>
        </w:rPr>
        <w:t xml:space="preserve">- </w:t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EÚ dodržiava zásadu rovnosti občanov, ktorým sa dostáva rovnakej pozornosti zo strany jej inštitúcií, orgánov, úradov a agentúr (článok 9 ZEÚ).</w:t>
      </w:r>
    </w:p>
    <w:p w14:paraId="5B0ABD60" w14:textId="4D813322" w:rsidR="00F921AD" w:rsidRDefault="00F921AD" w:rsidP="00C77A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sk-SK"/>
        </w:rPr>
      </w:pPr>
      <w:r>
        <w:rPr>
          <w:rFonts w:eastAsia="Times New Roman" w:cstheme="minorHAnsi"/>
          <w:color w:val="444444"/>
          <w:sz w:val="24"/>
          <w:szCs w:val="24"/>
          <w:lang w:eastAsia="sk-SK"/>
        </w:rPr>
        <w:t>-</w:t>
      </w:r>
      <w:r w:rsidR="001F70DB" w:rsidRPr="00301B55">
        <w:rPr>
          <w:rFonts w:eastAsia="Times New Roman" w:cstheme="minorHAnsi"/>
          <w:color w:val="444444"/>
          <w:sz w:val="24"/>
          <w:szCs w:val="24"/>
          <w:lang w:eastAsia="sk-SK"/>
        </w:rPr>
        <w:t>zastupiteľskej demokracie</w:t>
      </w:r>
      <w:hyperlink r:id="rId27" w:anchor="keyterm_E0002" w:history="1">
        <w:r w:rsidR="001F70DB"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*</w:t>
        </w:r>
      </w:hyperlink>
      <w:r w:rsidR="001F70DB"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</w:t>
      </w:r>
      <w:r>
        <w:rPr>
          <w:rFonts w:eastAsia="Times New Roman" w:cstheme="minorHAnsi"/>
          <w:color w:val="444444"/>
          <w:sz w:val="24"/>
          <w:szCs w:val="24"/>
          <w:lang w:eastAsia="sk-SK"/>
        </w:rPr>
        <w:t xml:space="preserve"> - </w:t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Občania sú na úrovni Únie priamo zastúpení Európskym parlamentom.</w:t>
      </w:r>
    </w:p>
    <w:p w14:paraId="76FAB06A" w14:textId="150EE4ED" w:rsidR="001F70DB" w:rsidRPr="00301B55" w:rsidRDefault="00F921AD" w:rsidP="00C77A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4444"/>
          <w:sz w:val="24"/>
          <w:szCs w:val="24"/>
          <w:lang w:eastAsia="sk-SK"/>
        </w:rPr>
      </w:pPr>
      <w:r>
        <w:rPr>
          <w:rFonts w:eastAsia="Times New Roman" w:cstheme="minorHAnsi"/>
          <w:color w:val="444444"/>
          <w:sz w:val="24"/>
          <w:szCs w:val="24"/>
          <w:lang w:eastAsia="sk-SK"/>
        </w:rPr>
        <w:lastRenderedPageBreak/>
        <w:t xml:space="preserve">- </w:t>
      </w:r>
      <w:proofErr w:type="spellStart"/>
      <w:r w:rsidR="001F70DB" w:rsidRPr="00301B55">
        <w:rPr>
          <w:rFonts w:eastAsia="Times New Roman" w:cstheme="minorHAnsi"/>
          <w:color w:val="444444"/>
          <w:sz w:val="24"/>
          <w:szCs w:val="24"/>
          <w:lang w:eastAsia="sk-SK"/>
        </w:rPr>
        <w:t>participatívnej</w:t>
      </w:r>
      <w:proofErr w:type="spellEnd"/>
      <w:r w:rsidR="001F70DB" w:rsidRPr="00301B55">
        <w:rPr>
          <w:rFonts w:eastAsia="Times New Roman" w:cstheme="minorHAnsi"/>
          <w:color w:val="444444"/>
          <w:sz w:val="24"/>
          <w:szCs w:val="24"/>
          <w:lang w:eastAsia="sk-SK"/>
        </w:rPr>
        <w:t xml:space="preserve"> demokracie</w:t>
      </w:r>
      <w:hyperlink r:id="rId28" w:anchor="keyterm_E0003" w:history="1">
        <w:r w:rsidR="001F70DB"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*</w:t>
        </w:r>
      </w:hyperlink>
      <w:r w:rsidR="001F70DB" w:rsidRPr="00301B55">
        <w:rPr>
          <w:rFonts w:eastAsia="Times New Roman" w:cstheme="minorHAnsi"/>
          <w:color w:val="444444"/>
          <w:sz w:val="24"/>
          <w:szCs w:val="24"/>
          <w:lang w:eastAsia="sk-SK"/>
        </w:rPr>
        <w:t>;</w:t>
      </w:r>
      <w:r>
        <w:rPr>
          <w:rFonts w:eastAsia="Times New Roman" w:cstheme="minorHAnsi"/>
          <w:color w:val="444444"/>
          <w:sz w:val="24"/>
          <w:szCs w:val="24"/>
          <w:lang w:eastAsia="sk-SK"/>
        </w:rPr>
        <w:t xml:space="preserve"> -  </w:t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Občania EÚ sa majú právo zúčastňovať na rozhodnutiach EÚ a spolupracovať s inštitúciami EÚ, napríklad formou dialógu prostredníctvom organizácií občianskej spoločnosti, ktorých sú členmi.</w:t>
      </w:r>
    </w:p>
    <w:p w14:paraId="0A4EBDF5" w14:textId="77777777" w:rsidR="001F70DB" w:rsidRPr="00301B55" w:rsidRDefault="001F70DB" w:rsidP="00301B5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 zavádza </w:t>
      </w:r>
      <w:hyperlink r:id="rId29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iniciatíva občanov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, ktorá je jednou z hlavných zmien Lisabonskej zmluvy, podľa ktorej môže (za určitých podmienok) najmenej jeden milión občanov vyzvať Komisiu na predloženie návrhu (</w:t>
      </w:r>
      <w:hyperlink r:id="rId30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11 ZEÚ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);</w:t>
      </w:r>
    </w:p>
    <w:p w14:paraId="09DA25C4" w14:textId="77777777" w:rsidR="001F70DB" w:rsidRPr="00301B55" w:rsidRDefault="001F70DB" w:rsidP="00301B5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 </w:t>
      </w:r>
      <w:hyperlink r:id="rId31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Charta základných práv Európskej únie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stáva právne záväznou a nadobúda rovnakú právnu hodnotu ako zmluvy (</w:t>
      </w:r>
      <w:hyperlink r:id="rId32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6 ZEÚ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</w:t>
      </w:r>
    </w:p>
    <w:p w14:paraId="10E787CE" w14:textId="77777777" w:rsidR="001F70DB" w:rsidRPr="00301B55" w:rsidRDefault="001F70DB" w:rsidP="00301B5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získavajú národné parlamenty väčšie slovo pri rozhodovaní EÚ (</w:t>
      </w:r>
      <w:hyperlink r:id="rId33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12 ZEÚ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);</w:t>
      </w:r>
    </w:p>
    <w:p w14:paraId="1D5194C6" w14:textId="77777777" w:rsidR="001F70DB" w:rsidRPr="00301B55" w:rsidRDefault="001F70DB" w:rsidP="00301B5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 xml:space="preserve">sa riadny legislatívny postup (predtým spolurozhodovanie) stáva štandardným legislatívnym postupom, pri ktorom má Európsky parlament ako </w:t>
      </w:r>
      <w:proofErr w:type="spellStart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spoluzákonodarca</w:t>
      </w:r>
      <w:proofErr w:type="spellEnd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 xml:space="preserve"> rovnaké postavenie ako Rada (</w:t>
      </w:r>
      <w:hyperlink r:id="rId34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294 ZFEÚ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);</w:t>
      </w:r>
    </w:p>
    <w:p w14:paraId="5DC5267A" w14:textId="77777777" w:rsidR="001F70DB" w:rsidRPr="00301B55" w:rsidRDefault="001F70DB" w:rsidP="00301B5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 zavádza rozdiel medzi legislatívnymi aktmi a nelegislatívnymi aktmi v závislosti od ich rozhodovacieho procesu (</w:t>
      </w:r>
      <w:hyperlink r:id="rId35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297 ZFEÚ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);</w:t>
      </w:r>
    </w:p>
    <w:p w14:paraId="6F61F926" w14:textId="77777777" w:rsidR="001F70DB" w:rsidRPr="00301B55" w:rsidRDefault="001F70DB" w:rsidP="00301B5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sa zavádzajú </w:t>
      </w:r>
      <w:hyperlink r:id="rId36" w:history="1">
        <w:r w:rsidRPr="00301B55">
          <w:rPr>
            <w:rFonts w:eastAsia="Times New Roman" w:cstheme="minorHAnsi"/>
            <w:b/>
            <w:bCs/>
            <w:color w:val="800080"/>
            <w:sz w:val="24"/>
            <w:szCs w:val="24"/>
            <w:lang w:eastAsia="sk-SK"/>
          </w:rPr>
          <w:t>delegované akty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(</w:t>
      </w:r>
      <w:hyperlink r:id="rId37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290 ZFEÚ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 a </w:t>
      </w:r>
      <w:hyperlink r:id="rId38" w:history="1">
        <w:r w:rsidRPr="00301B55">
          <w:rPr>
            <w:rFonts w:eastAsia="Times New Roman" w:cstheme="minorHAnsi"/>
            <w:b/>
            <w:bCs/>
            <w:color w:val="800080"/>
            <w:sz w:val="24"/>
            <w:szCs w:val="24"/>
            <w:lang w:eastAsia="sk-SK"/>
          </w:rPr>
          <w:t>vykonávacie akty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(</w:t>
      </w:r>
      <w:hyperlink r:id="rId39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291 ZFEÚ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). Prvým sa udeľuje Komisii právomoc prijímať všeobecne záväzné nelegislatívne akty na doplnenie legislatívneho aktu (netýkajú sa však podstatných prvkov). Druhým sa zabezpečuje rámec pre činnosť Komisie v doterajších </w:t>
      </w:r>
      <w:proofErr w:type="spellStart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fldChar w:fldCharType="begin"/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instrText xml:space="preserve"> HYPERLINK "http://eur-lex.europa.eu/summary/glossary/comitology.html" </w:instrText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fldChar w:fldCharType="separate"/>
      </w:r>
      <w:r w:rsidRPr="00301B55">
        <w:rPr>
          <w:rFonts w:eastAsia="Times New Roman" w:cstheme="minorHAnsi"/>
          <w:color w:val="800080"/>
          <w:sz w:val="24"/>
          <w:szCs w:val="24"/>
          <w:u w:val="single"/>
          <w:lang w:eastAsia="sk-SK"/>
        </w:rPr>
        <w:t>komitologických</w:t>
      </w:r>
      <w:proofErr w:type="spellEnd"/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fldChar w:fldCharType="end"/>
      </w: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oblastiach.</w:t>
      </w:r>
    </w:p>
    <w:p w14:paraId="698918EA" w14:textId="77777777" w:rsidR="00301B55" w:rsidRDefault="00301B55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sk-SK"/>
        </w:rPr>
      </w:pPr>
    </w:p>
    <w:p w14:paraId="1CA0170D" w14:textId="32A11AAC" w:rsidR="001F70DB" w:rsidRPr="00301B55" w:rsidRDefault="001F70DB" w:rsidP="00301B55">
      <w:pPr>
        <w:pStyle w:val="Odsekzoznamu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sk-SK"/>
        </w:rPr>
        <w:t>Vystúpenie z EÚ</w:t>
      </w:r>
    </w:p>
    <w:p w14:paraId="44A10518" w14:textId="77777777" w:rsidR="001F70DB" w:rsidRPr="00301B55" w:rsidRDefault="001F70DB" w:rsidP="00301B5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sk-SK"/>
        </w:rPr>
      </w:pPr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Zmluvou sa po prvýkrát stanovuje oficiálny postup pre prípad, že krajina EÚ chce z EÚ vystúpiť (</w:t>
      </w:r>
      <w:hyperlink r:id="rId40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článok 50 ZEÚ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 – pozri zhrnutie týkajúce sa </w:t>
      </w:r>
      <w:hyperlink r:id="rId41" w:history="1">
        <w:r w:rsidRPr="00301B55">
          <w:rPr>
            <w:rFonts w:eastAsia="Times New Roman" w:cstheme="minorHAnsi"/>
            <w:color w:val="800080"/>
            <w:sz w:val="24"/>
            <w:szCs w:val="24"/>
            <w:u w:val="single"/>
            <w:lang w:eastAsia="sk-SK"/>
          </w:rPr>
          <w:t>Rokovaní s UK podľa článku 50</w:t>
        </w:r>
      </w:hyperlink>
      <w:r w:rsidRPr="00301B55">
        <w:rPr>
          <w:rFonts w:eastAsia="Times New Roman" w:cstheme="minorHAnsi"/>
          <w:color w:val="444444"/>
          <w:sz w:val="24"/>
          <w:szCs w:val="24"/>
          <w:lang w:eastAsia="sk-SK"/>
        </w:rPr>
        <w:t>).</w:t>
      </w:r>
    </w:p>
    <w:p w14:paraId="282DEC28" w14:textId="77777777" w:rsidR="00301B55" w:rsidRDefault="00301B55" w:rsidP="00301B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</w:pPr>
    </w:p>
    <w:p w14:paraId="75E57971" w14:textId="77777777" w:rsidR="00301B55" w:rsidRDefault="00301B55" w:rsidP="00301B5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44444"/>
          <w:sz w:val="24"/>
          <w:szCs w:val="24"/>
          <w:lang w:eastAsia="sk-SK"/>
        </w:rPr>
      </w:pPr>
    </w:p>
    <w:p w14:paraId="66559699" w14:textId="77777777" w:rsidR="007E3BBB" w:rsidRDefault="007E3BBB"/>
    <w:sectPr w:rsidR="007E3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5F7"/>
    <w:multiLevelType w:val="multilevel"/>
    <w:tmpl w:val="A81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54FB7"/>
    <w:multiLevelType w:val="hybridMultilevel"/>
    <w:tmpl w:val="D316A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0A10"/>
    <w:multiLevelType w:val="multilevel"/>
    <w:tmpl w:val="6EA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7130F"/>
    <w:multiLevelType w:val="multilevel"/>
    <w:tmpl w:val="C656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21DE0"/>
    <w:multiLevelType w:val="multilevel"/>
    <w:tmpl w:val="9932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A36CC"/>
    <w:multiLevelType w:val="multilevel"/>
    <w:tmpl w:val="BC8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A10BB"/>
    <w:multiLevelType w:val="hybridMultilevel"/>
    <w:tmpl w:val="971A30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A5516"/>
    <w:multiLevelType w:val="multilevel"/>
    <w:tmpl w:val="0716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BB"/>
    <w:rsid w:val="001F70DB"/>
    <w:rsid w:val="002A62C4"/>
    <w:rsid w:val="00301B55"/>
    <w:rsid w:val="00465DCF"/>
    <w:rsid w:val="007E3BBB"/>
    <w:rsid w:val="00C77A95"/>
    <w:rsid w:val="00CE346F"/>
    <w:rsid w:val="00F9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2503"/>
  <w15:chartTrackingRefBased/>
  <w15:docId w15:val="{CA74572B-7763-4697-954E-86EF1C08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1F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inlinenote">
    <w:name w:val="inlinenote"/>
    <w:basedOn w:val="Predvolenpsmoodseku"/>
    <w:rsid w:val="001F70DB"/>
  </w:style>
  <w:style w:type="paragraph" w:customStyle="1" w:styleId="ti-chapter">
    <w:name w:val="ti-chapter"/>
    <w:basedOn w:val="Normlny"/>
    <w:rsid w:val="001F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Normlny1">
    <w:name w:val="Normálny1"/>
    <w:basedOn w:val="Normlny"/>
    <w:rsid w:val="001F7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bold">
    <w:name w:val="bold"/>
    <w:basedOn w:val="Predvolenpsmoodseku"/>
    <w:rsid w:val="001F70DB"/>
  </w:style>
  <w:style w:type="character" w:styleId="Hypertextovprepojenie">
    <w:name w:val="Hyperlink"/>
    <w:basedOn w:val="Predvolenpsmoodseku"/>
    <w:uiPriority w:val="99"/>
    <w:semiHidden/>
    <w:unhideWhenUsed/>
    <w:rsid w:val="001F70DB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30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r-lex.europa.eu/summary/glossary/ordinary-legislative-procedure.html" TargetMode="External"/><Relationship Id="rId13" Type="http://schemas.openxmlformats.org/officeDocument/2006/relationships/hyperlink" Target="http://eur-lex.europa.eu/summary/glossary/european_commission.html" TargetMode="External"/><Relationship Id="rId18" Type="http://schemas.openxmlformats.org/officeDocument/2006/relationships/hyperlink" Target="http://eur-lex.europa.eu/summary/glossary/high_representative_cfsp.html" TargetMode="External"/><Relationship Id="rId26" Type="http://schemas.openxmlformats.org/officeDocument/2006/relationships/hyperlink" Target="https://eur-lex.europa.eu/legal-content/SK/TXT/?uri=LEGISSUM%3Aai0033" TargetMode="External"/><Relationship Id="rId39" Type="http://schemas.openxmlformats.org/officeDocument/2006/relationships/hyperlink" Target="https://eur-lex.europa.eu/legal-content/SK/AUTO/?uri=celex:12016E29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ur-lex.europa.eu/summary/glossary/eu_external_action_service.html" TargetMode="External"/><Relationship Id="rId34" Type="http://schemas.openxmlformats.org/officeDocument/2006/relationships/hyperlink" Target="https://eur-lex.europa.eu/legal-content/SK/AUTO/?uri=celex:12016E29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ur-lex.europa.eu/summary/glossary/european_parliament.html" TargetMode="External"/><Relationship Id="rId12" Type="http://schemas.openxmlformats.org/officeDocument/2006/relationships/hyperlink" Target="https://eur-lex.europa.eu/summary/glossary/eu_council.html" TargetMode="External"/><Relationship Id="rId17" Type="http://schemas.openxmlformats.org/officeDocument/2006/relationships/hyperlink" Target="https://eur-lex.europa.eu/legal-content/SK/AUTO/?uri=celex:12016M013" TargetMode="External"/><Relationship Id="rId25" Type="http://schemas.openxmlformats.org/officeDocument/2006/relationships/hyperlink" Target="https://eur-lex.europa.eu/legal-content/SK/AUTO/?uri=celex:12016E006" TargetMode="External"/><Relationship Id="rId33" Type="http://schemas.openxmlformats.org/officeDocument/2006/relationships/hyperlink" Target="https://eur-lex.europa.eu/legal-content/SK/AUTO/?uri=celex:12016M012" TargetMode="External"/><Relationship Id="rId38" Type="http://schemas.openxmlformats.org/officeDocument/2006/relationships/hyperlink" Target="https://eur-lex.europa.eu/summary/glossary/implementing_a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ur-lex.europa.eu/summary/glossary/european_central_bank.html" TargetMode="External"/><Relationship Id="rId20" Type="http://schemas.openxmlformats.org/officeDocument/2006/relationships/hyperlink" Target="https://eur-lex.europa.eu/legal-content/SK/AUTO/?uri=celex:12016M018" TargetMode="External"/><Relationship Id="rId29" Type="http://schemas.openxmlformats.org/officeDocument/2006/relationships/hyperlink" Target="http://eur-lex.europa.eu/legal-content/sk/TXT/?uri=LEGISSUM:ai0044" TargetMode="External"/><Relationship Id="rId41" Type="http://schemas.openxmlformats.org/officeDocument/2006/relationships/hyperlink" Target="http://eur-lex.europa.eu/legal-content/sk/TXT/?uri=LEGISSUM:43010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ur-lex.europa.eu/legal-content/SK/AUTO/?uri=celex:12007L/TXT" TargetMode="External"/><Relationship Id="rId11" Type="http://schemas.openxmlformats.org/officeDocument/2006/relationships/hyperlink" Target="http://eur-lex.europa.eu/summary/glossary/european_council.html" TargetMode="External"/><Relationship Id="rId24" Type="http://schemas.openxmlformats.org/officeDocument/2006/relationships/hyperlink" Target="https://eur-lex.europa.eu/legal-content/SK/AUTO/?uri=celex:12016E004" TargetMode="External"/><Relationship Id="rId32" Type="http://schemas.openxmlformats.org/officeDocument/2006/relationships/hyperlink" Target="https://eur-lex.europa.eu/legal-content/SK/AUTO/?uri=celex:12016M006" TargetMode="External"/><Relationship Id="rId37" Type="http://schemas.openxmlformats.org/officeDocument/2006/relationships/hyperlink" Target="https://eur-lex.europa.eu/legal-content/SK/AUTO/?uri=celex:12016E290" TargetMode="External"/><Relationship Id="rId40" Type="http://schemas.openxmlformats.org/officeDocument/2006/relationships/hyperlink" Target="https://eur-lex.europa.eu/legal-content/SK/AUTO/?uri=celex:12016M050" TargetMode="External"/><Relationship Id="rId5" Type="http://schemas.openxmlformats.org/officeDocument/2006/relationships/hyperlink" Target="http://eur-lex.europa.eu/legal-content/sk/TXT/?uri=LEGISSUM:4301858" TargetMode="External"/><Relationship Id="rId15" Type="http://schemas.openxmlformats.org/officeDocument/2006/relationships/hyperlink" Target="http://eur-lex.europa.eu/summary/glossary/foreign_security_policy.html" TargetMode="External"/><Relationship Id="rId23" Type="http://schemas.openxmlformats.org/officeDocument/2006/relationships/hyperlink" Target="https://eur-lex.europa.eu/legal-content/SK/AUTO/?uri=celex:12016E003" TargetMode="External"/><Relationship Id="rId28" Type="http://schemas.openxmlformats.org/officeDocument/2006/relationships/hyperlink" Target="https://eur-lex.europa.eu/legal-content/SK/TXT/?uri=LEGISSUM%3Aai0033" TargetMode="External"/><Relationship Id="rId36" Type="http://schemas.openxmlformats.org/officeDocument/2006/relationships/hyperlink" Target="https://eur-lex.europa.eu/summary/glossary/delegated_acts.html" TargetMode="External"/><Relationship Id="rId10" Type="http://schemas.openxmlformats.org/officeDocument/2006/relationships/hyperlink" Target="http://eur-lex.europa.eu/summary/glossary/european_commission_president.html" TargetMode="External"/><Relationship Id="rId19" Type="http://schemas.openxmlformats.org/officeDocument/2006/relationships/hyperlink" Target="http://eeas.europa.eu/diplomatic-network/foreign-affairs-council_en" TargetMode="External"/><Relationship Id="rId31" Type="http://schemas.openxmlformats.org/officeDocument/2006/relationships/hyperlink" Target="http://eur-lex.europa.eu/summary/glossary/charter_fundamental_righ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ur-lex.europa.eu/legal-content/sk/TXT/?uri=LEGISSUM:ai0015" TargetMode="External"/><Relationship Id="rId14" Type="http://schemas.openxmlformats.org/officeDocument/2006/relationships/hyperlink" Target="http://eur-lex.europa.eu/summary/glossary/eu_court_justice.html" TargetMode="External"/><Relationship Id="rId22" Type="http://schemas.openxmlformats.org/officeDocument/2006/relationships/hyperlink" Target="http://eur-lex.europa.eu/summary/glossary/competences.html" TargetMode="External"/><Relationship Id="rId27" Type="http://schemas.openxmlformats.org/officeDocument/2006/relationships/hyperlink" Target="https://eur-lex.europa.eu/legal-content/SK/TXT/?uri=LEGISSUM%3Aai0033" TargetMode="External"/><Relationship Id="rId30" Type="http://schemas.openxmlformats.org/officeDocument/2006/relationships/hyperlink" Target="https://eur-lex.europa.eu/legal-content/SK/AUTO/?uri=celex:12016M011" TargetMode="External"/><Relationship Id="rId35" Type="http://schemas.openxmlformats.org/officeDocument/2006/relationships/hyperlink" Target="https://eur-lex.europa.eu/legal-content/SK/AUTO/?uri=celex:12016E297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6</cp:revision>
  <dcterms:created xsi:type="dcterms:W3CDTF">2019-10-16T12:13:00Z</dcterms:created>
  <dcterms:modified xsi:type="dcterms:W3CDTF">2019-10-16T19:44:00Z</dcterms:modified>
</cp:coreProperties>
</file>