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7C09" w:rsidRDefault="00733C3C" w:rsidP="00056E54">
      <w:pPr>
        <w:ind w:left="-1134" w:right="-993"/>
        <w:rPr>
          <w:rFonts w:ascii="Book Antiqua" w:hAnsi="Book Antiqua"/>
          <w:sz w:val="24"/>
          <w:szCs w:val="24"/>
        </w:rPr>
      </w:pPr>
      <w:r w:rsidRPr="00056E54">
        <w:rPr>
          <w:rFonts w:ascii="Book Antiqua" w:hAnsi="Book Antiqua"/>
          <w:sz w:val="24"/>
          <w:szCs w:val="24"/>
        </w:rPr>
        <w:t xml:space="preserve">Ježiš povedal: „Dokiaľ majú medzi sebou ženícha, nemôžu sa postiť. No prídu dni, keď im ženícha vezmú; potom, v ten deň sa budú postiť.“ </w:t>
      </w:r>
      <w:proofErr w:type="spellStart"/>
      <w:r w:rsidRPr="00056E54">
        <w:rPr>
          <w:rFonts w:ascii="Book Antiqua" w:hAnsi="Book Antiqua"/>
          <w:sz w:val="24"/>
          <w:szCs w:val="24"/>
        </w:rPr>
        <w:t>Mk</w:t>
      </w:r>
      <w:proofErr w:type="spellEnd"/>
      <w:r w:rsidRPr="00056E54">
        <w:rPr>
          <w:rFonts w:ascii="Book Antiqua" w:hAnsi="Book Antiqua"/>
          <w:sz w:val="24"/>
          <w:szCs w:val="24"/>
        </w:rPr>
        <w:t xml:space="preserve"> 2, 18–22; </w:t>
      </w:r>
      <w:proofErr w:type="spellStart"/>
      <w:r w:rsidRPr="00056E54">
        <w:rPr>
          <w:rFonts w:ascii="Book Antiqua" w:hAnsi="Book Antiqua"/>
          <w:sz w:val="24"/>
          <w:szCs w:val="24"/>
        </w:rPr>
        <w:t>Hebr</w:t>
      </w:r>
      <w:proofErr w:type="spellEnd"/>
      <w:r w:rsidRPr="00056E54">
        <w:rPr>
          <w:rFonts w:ascii="Book Antiqua" w:hAnsi="Book Antiqua"/>
          <w:sz w:val="24"/>
          <w:szCs w:val="24"/>
        </w:rPr>
        <w:t xml:space="preserve"> 5, 1–10; Ž 110 </w:t>
      </w:r>
      <w:r w:rsidRPr="00056E54">
        <w:rPr>
          <w:rFonts w:ascii="Book Antiqua" w:hAnsi="Book Antiqua"/>
          <w:sz w:val="24"/>
          <w:szCs w:val="24"/>
        </w:rPr>
        <w:br/>
      </w:r>
      <w:r w:rsidRPr="00056E54">
        <w:rPr>
          <w:rFonts w:ascii="Book Antiqua" w:hAnsi="Book Antiqua"/>
          <w:sz w:val="24"/>
          <w:szCs w:val="24"/>
        </w:rPr>
        <w:br/>
        <w:t xml:space="preserve">Prvý zázrak, ktorý Ježiš urobil, bolo rozmnoženie vína na svadbe (por. </w:t>
      </w:r>
      <w:proofErr w:type="spellStart"/>
      <w:r w:rsidRPr="00056E54">
        <w:rPr>
          <w:rFonts w:ascii="Book Antiqua" w:hAnsi="Book Antiqua"/>
          <w:sz w:val="24"/>
          <w:szCs w:val="24"/>
        </w:rPr>
        <w:t>Jn</w:t>
      </w:r>
      <w:proofErr w:type="spellEnd"/>
      <w:r w:rsidRPr="00056E54">
        <w:rPr>
          <w:rFonts w:ascii="Book Antiqua" w:hAnsi="Book Antiqua"/>
          <w:sz w:val="24"/>
          <w:szCs w:val="24"/>
        </w:rPr>
        <w:t xml:space="preserve"> 2, 1–11). Tento fakt akoby chcel naznačiť, že Ježiš nebude suchým askétom a že sa bude vedieť tešiť zo života. A je to pravda. Rozmnoženie vína nebola iba „jedna lastovička“. Ježiš rád sedával na hostinách a banketoch, až si od farizejov a zákonníkov vyslúžil nadávku „pažravec a pijan“ (por. </w:t>
      </w:r>
      <w:proofErr w:type="spellStart"/>
      <w:r w:rsidRPr="00056E54">
        <w:rPr>
          <w:rFonts w:ascii="Book Antiqua" w:hAnsi="Book Antiqua"/>
          <w:sz w:val="24"/>
          <w:szCs w:val="24"/>
        </w:rPr>
        <w:t>Mt</w:t>
      </w:r>
      <w:proofErr w:type="spellEnd"/>
      <w:r w:rsidRPr="00056E54">
        <w:rPr>
          <w:rFonts w:ascii="Book Antiqua" w:hAnsi="Book Antiqua"/>
          <w:sz w:val="24"/>
          <w:szCs w:val="24"/>
        </w:rPr>
        <w:t xml:space="preserve"> 11, 19). No okrem účastí na párty sa Ježiš aj postil (por. </w:t>
      </w:r>
      <w:proofErr w:type="spellStart"/>
      <w:r w:rsidRPr="00056E54">
        <w:rPr>
          <w:rFonts w:ascii="Book Antiqua" w:hAnsi="Book Antiqua"/>
          <w:sz w:val="24"/>
          <w:szCs w:val="24"/>
        </w:rPr>
        <w:t>Mt</w:t>
      </w:r>
      <w:proofErr w:type="spellEnd"/>
      <w:r w:rsidRPr="00056E54">
        <w:rPr>
          <w:rFonts w:ascii="Book Antiqua" w:hAnsi="Book Antiqua"/>
          <w:sz w:val="24"/>
          <w:szCs w:val="24"/>
        </w:rPr>
        <w:t xml:space="preserve"> 4, 2). Jeho posolstvo teda nie je striktne asketické, ale ani hedonistické. Je čas radosti a čas smútku (por. Kaz 3, 4). Veľmi neadekvátne vyznieva, ak sa „evanjelizátor“ snaží do všeobecne trúchlivej atmosféry vniesť násilnú radosť, aj to, ak niekto na svadbe hýri „čiernym humorom“. Ježiš učí každú chvíľu prežívať naplno. So ženíchom a nevestou sa radovať a na pohrebe byť smutný. Prežívať veci tak, ako ich život prináša a nesnažiť sa nasilu nahovárať si, že je to inak. Realita by sa zmenila na ilúziu. A kvôli nej Kristus neprišiel.</w:t>
      </w:r>
    </w:p>
    <w:p w:rsidR="00056E54" w:rsidRPr="00056E54" w:rsidRDefault="00056E54" w:rsidP="00056E54">
      <w:pPr>
        <w:ind w:left="-1134" w:right="-993"/>
        <w:rPr>
          <w:rFonts w:ascii="Book Antiqua" w:hAnsi="Book Antiqua"/>
          <w:sz w:val="24"/>
          <w:szCs w:val="24"/>
        </w:rPr>
      </w:pPr>
      <w:r w:rsidRPr="00056E54">
        <w:rPr>
          <w:rFonts w:ascii="Book Antiqua" w:hAnsi="Book Antiqua"/>
          <w:sz w:val="24"/>
          <w:szCs w:val="24"/>
        </w:rPr>
        <w:t xml:space="preserve">„Prečo sa učeníci farizejov postia, a tvoji nie?“ Ježiš im povedal: „Vari sa môžu svadobní hostia postiť, kým je ženích s nimi?“ </w:t>
      </w:r>
      <w:proofErr w:type="spellStart"/>
      <w:r w:rsidRPr="00056E54">
        <w:rPr>
          <w:rFonts w:ascii="Book Antiqua" w:hAnsi="Book Antiqua"/>
          <w:sz w:val="24"/>
          <w:szCs w:val="24"/>
        </w:rPr>
        <w:t>Mk</w:t>
      </w:r>
      <w:proofErr w:type="spellEnd"/>
      <w:r w:rsidRPr="00056E54">
        <w:rPr>
          <w:rFonts w:ascii="Book Antiqua" w:hAnsi="Book Antiqua"/>
          <w:sz w:val="24"/>
          <w:szCs w:val="24"/>
        </w:rPr>
        <w:t xml:space="preserve"> 2,18-22 </w:t>
      </w:r>
      <w:r w:rsidRPr="00056E54">
        <w:rPr>
          <w:rFonts w:ascii="Book Antiqua" w:hAnsi="Book Antiqua"/>
          <w:sz w:val="24"/>
          <w:szCs w:val="24"/>
        </w:rPr>
        <w:br/>
      </w:r>
      <w:r w:rsidRPr="00056E54">
        <w:rPr>
          <w:rFonts w:ascii="Book Antiqua" w:hAnsi="Book Antiqua"/>
          <w:sz w:val="24"/>
          <w:szCs w:val="24"/>
        </w:rPr>
        <w:br/>
        <w:t>Morálka je v spoločnosti určená zákonmi. Podľa zachovávania alebo prestupovania predpisov sa hodnotil aj človek v Starom zákone. Kristus však prichádza s niečím úplne iným, čo nás i dnes privádza do rozpakov. Nový život, ktorý prišiel zvestovať, sa totiž nedá určiť predpismi, ale iba vynaliezavosťou lásky. Len si predstavme manželstvo, v ktorom si každý presne plní povinnosti – muž denne vstáva do práce, pravidelne odovzdáva manželke peniaze aj s výplatnou páskou, manželka sa zase stará o domácnosť, prebaľuje deti, perie, varí atď. Obaja žijú podľa akýchsi nepísaných predpisov, ktoré – povedali by sme – určujú charakter dobrého manželstva. No to neznamená, že medzi nimi je aj milujúci vzťah. Ako rodina si možno nemajú čo vyčítať, a predsa sú nešťastní. „Prosím ťa, všetko máš vždy čisté a na stole pripravené teplé jedlo,“ obhajuje sa manželka, keď muž začne pochybovať o kvalite ich vzťahu. „Vieš, chcel by som, aby si ma mala aj trochu rada!“ Predpisy nedokážu hovoriť o láske.</w:t>
      </w:r>
    </w:p>
    <w:p w:rsidR="00056E54" w:rsidRDefault="008A3845" w:rsidP="00056E54">
      <w:pPr>
        <w:ind w:left="-1134" w:right="-993"/>
      </w:pPr>
      <w:r>
        <w:t xml:space="preserve">Ježiš povedal: „Vari sa môžu svadobní hostia postiť, keď je ženích s nimi?“ </w:t>
      </w:r>
      <w:r>
        <w:br/>
      </w:r>
      <w:proofErr w:type="spellStart"/>
      <w:r>
        <w:t>Mk</w:t>
      </w:r>
      <w:proofErr w:type="spellEnd"/>
      <w:r>
        <w:t xml:space="preserve"> 2, 18 – 22, 1 </w:t>
      </w:r>
      <w:proofErr w:type="spellStart"/>
      <w:r>
        <w:t>Sam</w:t>
      </w:r>
      <w:proofErr w:type="spellEnd"/>
      <w:r>
        <w:t xml:space="preserve"> 15, 16 – 23; Ž 50 </w:t>
      </w:r>
      <w:r>
        <w:br/>
      </w:r>
      <w:r>
        <w:br/>
        <w:t xml:space="preserve">Radosť je často skúškou správnosti smeru cesty. Zvlášť v oblastiach, akými sú modlitba, pôst a almužna. Ak sa človek modlí, postí a obdarúva so škrípaním zubov, niečo nie je v poriadku. To platí aj vo vzťahu k druhým ľuďom. Farizeji, zákonníci a Jánovi učeníci nie sú tými, ktorí pôst vyžadujú len od druhých, zatiaľ čo sa sami napchávajú </w:t>
      </w:r>
      <w:proofErr w:type="spellStart"/>
      <w:r>
        <w:t>steakom</w:t>
      </w:r>
      <w:proofErr w:type="spellEnd"/>
      <w:r>
        <w:t>. Často podstupujú dokonca väčší pôst, ako im Mojžiš predpísal. V tom nie je žiaden problém. Zakalenie zraku začína vtedy, keď sa postiaci pozerá na tých, čo sa nepostia, skrz prsty. V takom prípade „vyjde nazmar“ aj pôst, aj snaha. Pôst nie je samoúčelným vyprázdnením, a už vôbec nie činom, ktorým by mal človek potešovať smutného Boha. Pôst je vnútorné vyprázdnenie kvôli tomu, aby mohol prijímať druhých. Ak sa postí a zároveň zvrchu pozerá na tých, čo sa teraz so ženíchom veselia, potom zostáva iba „cvendžiacim kovom“ (por. 1 Kor 13). Ježiš neodmieta pôst, odmieta len falošné pohnútky k nemu. A tiež postenie sa, ktoré zvnútra vytláča radosť.</w:t>
      </w:r>
    </w:p>
    <w:p w:rsidR="00CA6AC4" w:rsidRDefault="00CA6AC4" w:rsidP="00056E54">
      <w:pPr>
        <w:ind w:left="-1134" w:right="-993"/>
      </w:pPr>
    </w:p>
    <w:p w:rsidR="00CA6AC4" w:rsidRDefault="00CA6AC4" w:rsidP="00056E54">
      <w:pPr>
        <w:ind w:left="-1134" w:right="-993"/>
      </w:pPr>
    </w:p>
    <w:p w:rsidR="00CA6AC4" w:rsidRDefault="00CA6AC4" w:rsidP="00056E54">
      <w:pPr>
        <w:ind w:left="-1134" w:right="-993"/>
      </w:pPr>
    </w:p>
    <w:p w:rsidR="00CA6AC4" w:rsidRDefault="00CA6AC4" w:rsidP="00056E54">
      <w:pPr>
        <w:ind w:left="-1134" w:right="-993"/>
      </w:pPr>
    </w:p>
    <w:p w:rsidR="00CA6AC4" w:rsidRDefault="00CA6AC4" w:rsidP="00CA6AC4">
      <w:pPr>
        <w:ind w:left="-567" w:right="-426"/>
        <w:rPr>
          <w:rFonts w:ascii="Book Antiqua" w:hAnsi="Book Antiqua"/>
          <w:sz w:val="24"/>
          <w:szCs w:val="24"/>
        </w:rPr>
      </w:pPr>
      <w:r w:rsidRPr="00CA6AC4">
        <w:rPr>
          <w:rFonts w:ascii="Book Antiqua" w:hAnsi="Book Antiqua"/>
          <w:sz w:val="24"/>
          <w:szCs w:val="24"/>
        </w:rPr>
        <w:t xml:space="preserve">Dnešné evanjelium nám ukazuje spor Pána Ježiša s farizejmi ohľadom pôstu. Vieme, že Ježiš sa po svojom krste postil 40 dní a 40 nocí na púšti. Teda sám prešiel tvrdou skúškou pôstu. V </w:t>
      </w:r>
      <w:r w:rsidRPr="00CA6AC4">
        <w:rPr>
          <w:rFonts w:ascii="Book Antiqua" w:hAnsi="Book Antiqua"/>
          <w:sz w:val="24"/>
          <w:szCs w:val="24"/>
        </w:rPr>
        <w:lastRenderedPageBreak/>
        <w:t>dnešnom evanjeliu nevystupuje Pán Ježiš proti myšlienke pôstu. Nepostenie apoštolov, ktoré Pán Ježiš obhajuje, sa týka tej zvláštnej a mimoriadnej doby, ktorú prežívali apoštoli počas Ježišovho pozemského života. Pochopíme to, keď si odpovieme na otázku, aký je vlastne zmysel pôstu. Zmyslom pôstu je priblíženie sa k Bohu. Pretože v osobe Pána Ježiša sa sám Boh priblížil k nám ľuďom, pôst v tom čase strácal svoj zmysel a opodstatnenie. Pôst by bol krajne nepatričný a vyzeral by v tejto konkrétnej situácie ako snaha postiť sa na svadobnej hostine, čo by bolo vrcholne smiešne a možno i urážajúce hostiteľa: „Kým majú ženícha medzi sebou, nemôžu sa postiť. Prídu však dni, keď im ženícha vezmú a vtedy v tých dňoch sa budú postiť!“</w:t>
      </w:r>
      <w:r w:rsidRPr="00CA6AC4">
        <w:rPr>
          <w:rFonts w:ascii="Book Antiqua" w:hAnsi="Book Antiqua"/>
          <w:sz w:val="24"/>
          <w:szCs w:val="24"/>
        </w:rPr>
        <w:br/>
        <w:t>    Môžeme povedať, že my všetci žijeme v dobe, keď ženích vystúpil na nebesia a znovu očakávame jeho druhý príchod a preto pôst duchovný i fyzický znovu nadobúda zmysel. Vyjadruje našu túžbu po Ježišovi, túžbu po jeho druhom príchode ale aj túžbu po jeho stálom príchode vo Sviatosti Oltárnej. V predošlých dobách si kresťania viacej uvedomovali túto spojitosť, pretože bol pred svätým prijímaním predpísaný dlhší pôst ako dnes. </w:t>
      </w:r>
      <w:r w:rsidRPr="00CA6AC4">
        <w:rPr>
          <w:rFonts w:ascii="Book Antiqua" w:hAnsi="Book Antiqua"/>
          <w:sz w:val="24"/>
          <w:szCs w:val="24"/>
        </w:rPr>
        <w:br/>
        <w:t>    Kto sa postí, zrieka sa jedla i pitia. V Eucharistii však oslavujeme jedlo i pitie. Človek sa v raji prehrešil jedením, teraz získava spásu a spoločenstvo s Bohom skrze Eucharistiu. Práve to, čo si človek v pôste odopiera, stáva sa tou najvnútornejším úkonom vzťahu s Bohom. Dary chleba a vína sa premieňajú v Kristovo Telo a Krv a sú podávané človeku. Ich požívanie človeka privádza k jednote s Bohom. Tak sa stáva jedlo i pitie posvätným. Eucharistia je v tomto zmysle prekonaním prvotného pádu človeka, ktorý sa chcel jedením zmocniť božstva. Premena nášho pokrmu a nápoja v najvyššiu formu stretnutia s Bohom v Eucharistii ukazuje, že pôst má v zásade vždy kladnú funkciu. Nie, že by nám nechcel dopriať jedlo a pitie, ale chce, aby pre nás oboje zduchovnelo.</w:t>
      </w: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Default="00FF63D8" w:rsidP="00CA6AC4">
      <w:pPr>
        <w:ind w:left="-567" w:right="-426"/>
        <w:rPr>
          <w:rFonts w:ascii="Book Antiqua" w:hAnsi="Book Antiqua"/>
          <w:sz w:val="24"/>
          <w:szCs w:val="24"/>
        </w:rPr>
      </w:pPr>
    </w:p>
    <w:p w:rsidR="00FF63D8" w:rsidRPr="00FF63D8" w:rsidRDefault="00FF63D8" w:rsidP="00FF63D8">
      <w:pPr>
        <w:pStyle w:val="Normlnywebov"/>
        <w:ind w:left="-851" w:right="-851"/>
        <w:jc w:val="center"/>
        <w:rPr>
          <w:rFonts w:ascii="Book Antiqua" w:hAnsi="Book Antiqua"/>
        </w:rPr>
      </w:pPr>
      <w:r w:rsidRPr="00FF63D8">
        <w:rPr>
          <w:rFonts w:ascii="Book Antiqua" w:hAnsi="Book Antiqua"/>
          <w:b/>
          <w:bCs/>
        </w:rPr>
        <w:lastRenderedPageBreak/>
        <w:t>2. pondelok - (</w:t>
      </w:r>
      <w:proofErr w:type="spellStart"/>
      <w:r w:rsidRPr="00FF63D8">
        <w:rPr>
          <w:rFonts w:ascii="Book Antiqua" w:hAnsi="Book Antiqua"/>
          <w:b/>
          <w:bCs/>
        </w:rPr>
        <w:t>Mk</w:t>
      </w:r>
      <w:proofErr w:type="spellEnd"/>
      <w:r w:rsidRPr="00FF63D8">
        <w:rPr>
          <w:rFonts w:ascii="Book Antiqua" w:hAnsi="Book Antiqua"/>
          <w:b/>
          <w:bCs/>
        </w:rPr>
        <w:t xml:space="preserve"> 2,18-22)</w:t>
      </w:r>
    </w:p>
    <w:p w:rsidR="00FF63D8" w:rsidRPr="00FF63D8" w:rsidRDefault="00FF63D8" w:rsidP="00FF63D8">
      <w:pPr>
        <w:pStyle w:val="Normlnywebov"/>
        <w:ind w:left="-851" w:right="-851"/>
        <w:rPr>
          <w:rFonts w:ascii="Book Antiqua" w:hAnsi="Book Antiqua"/>
        </w:rPr>
      </w:pPr>
      <w:r w:rsidRPr="00FF63D8">
        <w:rPr>
          <w:rFonts w:ascii="Book Antiqua" w:hAnsi="Book Antiqua"/>
        </w:rPr>
        <w:t xml:space="preserve">    Dnešné evanjelium nám ukazuje spor Pána Ježiša s farizejmi ohľadom pôstu. Vieme, že Pán Ježiš sa po svojom krste postil 40 dní a 40 nocí na púšti. Teda On sám prešiel tvrdou skúškou pôstu a nebol proti tejto osvedčenej praxi. V dnešnom evanjeliu nevystupuje Pán Ježiš proti myšlienke pôstu. Nepostenie u apoštolov, ktoré Pán Ježiš obhajuje, sa týka len toho zvláštneho a mimoriadneho času, ktorý prežívali apoštoli v dobe Ježišovho pozemského života. </w:t>
      </w:r>
      <w:r w:rsidRPr="00FF63D8">
        <w:rPr>
          <w:rFonts w:ascii="Book Antiqua" w:hAnsi="Book Antiqua"/>
        </w:rPr>
        <w:br/>
        <w:t>    Pochopíme to, keď si odpovieme na otázku, aký je vlastne zmysel pôstu. Cirkevní otcovia svorne tvrdili, že „Prikázanie pôstu je tak staré ako sám svet. Prvé prikázanie, ktoré Boh dal človeku, bolo prikázanie postiť sa" (Genezis 2,17). Už v raji bolo dané ľuďom prikázanie zdržanlivosti, aby nejedli zo stromu poznania dobra a zla. Nebolo to prikázanie absolútneho pôstu, pretože zo všetkých ostatných stromov v raji mohli jesť, ale toto prikázanie sa týkalo stromu poznania dobra a zla. Mohli by sme povedať, že pôst tu chápeme, ako múdre seba obmedzenie v záujme seba zachovania. V konečnom dôsledku je pôstom vlastne poslušnosť Božiemu Slovu. Sv. Bazil hovorí: „Pretože sme sa nepostili, boli sme z raja vyhnaní, budeme sa postiť, aby sme znovu mohli do raja vstúpili".</w:t>
      </w:r>
      <w:r w:rsidRPr="00FF63D8">
        <w:rPr>
          <w:rFonts w:ascii="Book Antiqua" w:hAnsi="Book Antiqua"/>
        </w:rPr>
        <w:br/>
        <w:t>    Zmyslom pôstu je teda priblíženie sa k Bohu. A pretože sa v osobe Pána Ježiša sám Boh priblížil k ľuďom, naplnil sa cieľ pôstu a dokonca apoštoli tým, že nasledovali Vtelené Slovo, že poslúchali Božie Slovo sa v najhlbšom zmysle postili, nie od chleba, ale od vlastnej zvrátenej vôle. Pôst od jedla by bol krajne nepatričný a vyzeralo by v to v tejto konkrétnej situácii ako snaha postiť sa na svadobnej hostine, čo by bolo vrcholne smiešne a urážajúce hostiteľa: „Kým majú ženícha medzi sebou, nemôžu sa postiť. Prídu však dni, keď im ženícha vezmú a vtedy v tých dňoch sa budú postiť!“</w:t>
      </w:r>
      <w:r w:rsidRPr="00FF63D8">
        <w:rPr>
          <w:rFonts w:ascii="Book Antiqua" w:hAnsi="Book Antiqua"/>
        </w:rPr>
        <w:br/>
        <w:t xml:space="preserve">    Môžeme povedať, že my všetci žijeme v dobe, keď ženích vystúpil na nebesia a znovu očakávame jeho druhý príchod a preto pôst duchovný i fyzický znovu nadobúda zmysel. Vyjadruje našu túžbu po Ježišovi, túžbu po jeho druhom príchode ale aj túžbu po jeho stálom príchode vo Sviatosti Oltárnej. V predošlých dobách si kresťania viacej uvedomovali túto spojitosť, pretože bol pred svätým prijímaním predpísaný dlhší pôst ako dnes. </w:t>
      </w:r>
      <w:r w:rsidRPr="00FF63D8">
        <w:rPr>
          <w:rFonts w:ascii="Book Antiqua" w:hAnsi="Book Antiqua"/>
        </w:rPr>
        <w:br/>
        <w:t>    Kto sa postí, zrieka sa jedla i pitia. V Eucharistii však oslavujeme jedlo i pitie. Človek sa v raji prehrešil jedením, teraz získava spásu a spoločenstvo s Bohom skrze Eucharistiu. Práve to, čo si človek v pôste odopiera, stáva sa tou najvnútornejším úkonom vzťahu s Bohom. Dary chleba a vína sa premieňajú v Kristovo Telo a Krv a sú podávané človeku. Ich požívanie človeka privádza k jednote s Bohom. Tak sa stáva jedlo i pitie posvätným. Eucharistia je v tomto zmysle prekonaním prvotného pádu človeka, ktorý sa chcel jedením zmocniť božstva. Premena nášho pokrmu a nápoja v najvyššiu formu stretnutia s Bohom v Eucharistii ukazuje, že pôst má v zásade vždy kladnú funkciu. Nie, že by nám nechcel dopriať jedlo a pitie, ale chce, aby pre nás oboje zduchovnelo.</w:t>
      </w:r>
      <w:r w:rsidRPr="00FF63D8">
        <w:rPr>
          <w:rFonts w:ascii="Book Antiqua" w:hAnsi="Book Antiqua"/>
        </w:rPr>
        <w:br/>
        <w:t xml:space="preserve">    Už Starý zákon nám odhaľuje, v čom tkvie podstata pôstu, podstata nášho pôstu: „Vari Pán chce zápalné a krvavé obety, a nie skôr poslušnosť Pánovmu slovu?" Pravý pôst je poslušnosť Pánovmu Slovu. Naozaj človek nezaprel seba samého, dokiaľ sa drží svojej vlastnej vôle. Ťažisko sebazaprenia je v tom: „Zapri sám seba! Nasleduj ma!" V praktickom živote to ide tak ďaleko, že máme urobiť akýsi politický prevrat vo vlastnej bytosti. Po dedičnom hriechu sa všetci rodíme vo zvláštnom stave. Na tróne nášho srdca sedí naše Ego. K nemu sa upínajú všetky naše túžby a snahy. Často je predmetom nášho zbožňovania. Žijeme sami pre seba, podľa svojej vôle a zo svojich síl. Robíme si, čo sa nám zachce a ku podivu nie sme šťastní. </w:t>
      </w:r>
      <w:r w:rsidRPr="00FF63D8">
        <w:rPr>
          <w:rFonts w:ascii="Book Antiqua" w:hAnsi="Book Antiqua"/>
        </w:rPr>
        <w:br/>
        <w:t xml:space="preserve">    Prečo nie sme šťastní? Lebo toto nie je naša pôvodná prirodzenosť a naše určenie. Prví ľudia v Raji prežívali čosi iné. Boh im pri Stvorení vdýchol Dych života. V tomto Dychu im vložil do Srdca svoje Slovo – svojho jednorodeného Syna. Na tróne ich srdca vládlo Božie Slovo. Dokiaľ v ich srdci rozhodovalo Božie Slovo, prežívali v sebe prítomnosť Ducha Svätého, ako svoju blaženosť. Sv. Pavol v liste </w:t>
      </w:r>
      <w:proofErr w:type="spellStart"/>
      <w:r w:rsidRPr="00FF63D8">
        <w:rPr>
          <w:rFonts w:ascii="Book Antiqua" w:hAnsi="Book Antiqua"/>
        </w:rPr>
        <w:t>Galaťanom</w:t>
      </w:r>
      <w:proofErr w:type="spellEnd"/>
      <w:r w:rsidRPr="00FF63D8">
        <w:rPr>
          <w:rFonts w:ascii="Book Antiqua" w:hAnsi="Book Antiqua"/>
        </w:rPr>
        <w:t xml:space="preserve"> hovorí, že to, čo Duch Svätý spôsobuje v človeku, je radosť, pokoj, láska: „Ale ovocie Ducha je láska, radosť, pokoj, zhovievavosť, láskavosť, dobrota, vernosť, miernosť, zdržanlivosť.“ (Gal 5,22) Toto je opak depresie. </w:t>
      </w:r>
      <w:r w:rsidRPr="00FF63D8">
        <w:rPr>
          <w:rFonts w:ascii="Book Antiqua" w:hAnsi="Book Antiqua"/>
        </w:rPr>
        <w:br/>
        <w:t xml:space="preserve">    Preto je potrebné, prijať Ježiša ako svojho Pána. Rozísť sa s hriechom. Vyznať, vylúčiť hriech tak, ako zo seba vylučujeme všetko to, čo nemôže byť použité pre stavbu nášho tela a nie je ani zdrojom energie. A k tomu sa už nevraciame, ale čo najskôr to spláchneme. Je potrebné vydať svoj život Ježišovi. Vydať sa Ježišovi, vydať sa za Ježiša. Prijať ho ako svoj Život. Uvoľniť trón srdca pre Božie </w:t>
      </w:r>
      <w:r w:rsidRPr="00FF63D8">
        <w:rPr>
          <w:rFonts w:ascii="Book Antiqua" w:hAnsi="Book Antiqua"/>
        </w:rPr>
        <w:lastRenderedPageBreak/>
        <w:t>Slovo.</w:t>
      </w:r>
      <w:r w:rsidRPr="00FF63D8">
        <w:rPr>
          <w:rFonts w:ascii="Book Antiqua" w:hAnsi="Book Antiqua"/>
        </w:rPr>
        <w:br/>
        <w:t> </w:t>
      </w:r>
      <w:proofErr w:type="spellStart"/>
      <w:r w:rsidRPr="00FF63D8">
        <w:rPr>
          <w:rFonts w:ascii="Book Antiqua" w:hAnsi="Book Antiqua"/>
        </w:rPr>
        <w:t>Šaulovi</w:t>
      </w:r>
      <w:proofErr w:type="spellEnd"/>
      <w:r w:rsidRPr="00FF63D8">
        <w:rPr>
          <w:rFonts w:ascii="Book Antiqua" w:hAnsi="Book Antiqua"/>
        </w:rPr>
        <w:t xml:space="preserve"> je povedané: „A pretože si opovrhol Pánovým slovom, Pán opovrhne tebou - nebudeš kráľom." Ako sa človek chová voči Božiemu Slovu, tak sa Boh chová voči nemu. Nevšímaš si Božie Slovo, ani Boh si nevšíma tvoju modlitbu. Opovrhuješ Pánovým Slovom, aj Boh opovrhuje tebou. Poslúchať Boha znamená panovať – „byť kráľom“, ale kto ide cestou svojvôle, stráca schopnosť vlády. Naša veľkosť je v poslušnosti voči Bohu. Kto poslúcha Boha je pánom nad sebou i nad svetom. Kto pácha hriech je otrokom hriechu. „Nebudeš kráľom", tak smutne vyzerá ovocie života nepodriadeného Bohu.</w:t>
      </w:r>
    </w:p>
    <w:p w:rsidR="00FF63D8" w:rsidRDefault="00FF63D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1B0DE8" w:rsidRDefault="001B0DE8" w:rsidP="00FF63D8">
      <w:pPr>
        <w:ind w:left="-851" w:right="-851"/>
        <w:rPr>
          <w:rFonts w:ascii="Book Antiqua" w:hAnsi="Book Antiqua"/>
          <w:sz w:val="24"/>
          <w:szCs w:val="24"/>
        </w:rPr>
      </w:pPr>
    </w:p>
    <w:p w:rsidR="00053250" w:rsidRDefault="00053250" w:rsidP="00053250">
      <w:pPr>
        <w:spacing w:before="150" w:after="150" w:line="432" w:lineRule="auto"/>
        <w:rPr>
          <w:rFonts w:ascii="&amp;quot" w:eastAsia="Times New Roman" w:hAnsi="&amp;quot" w:cs="Times New Roman"/>
          <w:color w:val="6C4C29"/>
          <w:sz w:val="18"/>
          <w:szCs w:val="18"/>
          <w:lang w:eastAsia="sk-SK"/>
        </w:rPr>
      </w:pPr>
    </w:p>
    <w:p w:rsidR="00053250" w:rsidRDefault="00053250" w:rsidP="00053250">
      <w:pPr>
        <w:spacing w:before="150" w:after="150" w:line="432" w:lineRule="auto"/>
        <w:rPr>
          <w:rFonts w:ascii="&amp;quot" w:eastAsia="Times New Roman" w:hAnsi="&amp;quot" w:cs="Times New Roman"/>
          <w:color w:val="6C4C29"/>
          <w:sz w:val="18"/>
          <w:szCs w:val="18"/>
          <w:lang w:eastAsia="sk-SK"/>
        </w:rPr>
      </w:pPr>
    </w:p>
    <w:p w:rsidR="00053250" w:rsidRDefault="00053250" w:rsidP="00053250">
      <w:pPr>
        <w:spacing w:before="150" w:after="150" w:line="432" w:lineRule="auto"/>
        <w:rPr>
          <w:rFonts w:ascii="&amp;quot" w:eastAsia="Times New Roman" w:hAnsi="&amp;quot" w:cs="Times New Roman"/>
          <w:color w:val="6C4C29"/>
          <w:sz w:val="18"/>
          <w:szCs w:val="18"/>
          <w:lang w:eastAsia="sk-SK"/>
        </w:rPr>
      </w:pPr>
      <w:bookmarkStart w:id="0" w:name="_GoBack"/>
      <w:bookmarkEnd w:id="0"/>
    </w:p>
    <w:p w:rsidR="00053250" w:rsidRDefault="00053250" w:rsidP="00053250">
      <w:pPr>
        <w:spacing w:before="150" w:after="150" w:line="432" w:lineRule="auto"/>
        <w:rPr>
          <w:rFonts w:ascii="&amp;quot" w:eastAsia="Times New Roman" w:hAnsi="&amp;quot" w:cs="Times New Roman"/>
          <w:color w:val="6C4C29"/>
          <w:sz w:val="18"/>
          <w:szCs w:val="18"/>
          <w:lang w:eastAsia="sk-SK"/>
        </w:rPr>
      </w:pPr>
    </w:p>
    <w:p w:rsidR="00053250" w:rsidRPr="00053250" w:rsidRDefault="00053250" w:rsidP="00053250">
      <w:pPr>
        <w:spacing w:before="150" w:after="150" w:line="432" w:lineRule="auto"/>
        <w:rPr>
          <w:rFonts w:ascii="Book Antiqua" w:eastAsia="Times New Roman" w:hAnsi="Book Antiqua" w:cs="Times New Roman"/>
          <w:color w:val="6C4C29"/>
          <w:sz w:val="24"/>
          <w:szCs w:val="24"/>
          <w:lang w:eastAsia="sk-SK"/>
        </w:rPr>
      </w:pPr>
    </w:p>
    <w:p w:rsidR="00053250" w:rsidRPr="00053250" w:rsidRDefault="00053250" w:rsidP="00053250">
      <w:pPr>
        <w:spacing w:before="150" w:after="150" w:line="432" w:lineRule="auto"/>
        <w:rPr>
          <w:rFonts w:ascii="Book Antiqua" w:eastAsia="Times New Roman" w:hAnsi="Book Antiqua" w:cs="Times New Roman"/>
          <w:color w:val="6C4C29"/>
          <w:sz w:val="24"/>
          <w:szCs w:val="24"/>
          <w:lang w:eastAsia="sk-SK"/>
        </w:rPr>
      </w:pPr>
      <w:r w:rsidRPr="00053250">
        <w:rPr>
          <w:rFonts w:ascii="Book Antiqua" w:eastAsia="Times New Roman" w:hAnsi="Book Antiqua" w:cs="Times New Roman"/>
          <w:color w:val="6C4C29"/>
          <w:sz w:val="24"/>
          <w:szCs w:val="24"/>
          <w:lang w:eastAsia="sk-SK"/>
        </w:rPr>
        <w:t>Pozerajúc niektoré zostrihy a fotky Svätého Otca Františka som si uvedomil bohatstvo troch posledných pápežov pre túto cirkev. Každý iným spôsobom ju oživoval a privádzal k pravde. Ich komplementárnosť je ukážková. Ján Pavol II. sa ukázal ako nadšenec divadla, bol herec pravdy. Ľudia prichádzali do Ríma ho vidieť. Benedikt XVI. ako nadšenec múdrosti, bol pravý intelektuál. Ľudia ho prichádzali počúvať. František ako nadšenec vedy vnútra človeka, sa prejavuje ako pravý psychológ. Ľudia prichádzajú, aby sa ním nechali objať.</w:t>
      </w:r>
    </w:p>
    <w:p w:rsidR="00053250" w:rsidRPr="00053250" w:rsidRDefault="00053250" w:rsidP="00053250">
      <w:pPr>
        <w:spacing w:before="150" w:after="150" w:line="432" w:lineRule="auto"/>
        <w:rPr>
          <w:rFonts w:ascii="Book Antiqua" w:eastAsia="Times New Roman" w:hAnsi="Book Antiqua" w:cs="Times New Roman"/>
          <w:color w:val="6C4C29"/>
          <w:sz w:val="24"/>
          <w:szCs w:val="24"/>
          <w:lang w:eastAsia="sk-SK"/>
        </w:rPr>
      </w:pPr>
      <w:r w:rsidRPr="00053250">
        <w:rPr>
          <w:rFonts w:ascii="Book Antiqua" w:eastAsia="Times New Roman" w:hAnsi="Book Antiqua" w:cs="Times New Roman"/>
          <w:color w:val="6C4C29"/>
          <w:sz w:val="24"/>
          <w:szCs w:val="24"/>
          <w:lang w:eastAsia="sk-SK"/>
        </w:rPr>
        <w:t>Novosť kresťanského posolstva spočíva v ohlasovaní radosti. A tá je zviazaná so skutočnosťou, ktorú je potrebné neustále oživovať a prehlbovať: jednota srdca, mysle a života s Kristom, Ženíchom. A tak ako nové víno je potrebné uchovávať v nových, silných sudoch, tak aj nový, vykúpený život s Kristom je potrebné dávať do obnoveného bytia.</w:t>
      </w:r>
    </w:p>
    <w:p w:rsidR="00053250" w:rsidRPr="00053250" w:rsidRDefault="00053250" w:rsidP="00053250">
      <w:pPr>
        <w:spacing w:after="0" w:line="432" w:lineRule="auto"/>
        <w:rPr>
          <w:rFonts w:ascii="Book Antiqua" w:eastAsia="Times New Roman" w:hAnsi="Book Antiqua" w:cs="Times New Roman"/>
          <w:color w:val="6C4C29"/>
          <w:sz w:val="24"/>
          <w:szCs w:val="24"/>
          <w:lang w:eastAsia="sk-SK"/>
        </w:rPr>
      </w:pPr>
      <w:r w:rsidRPr="00053250">
        <w:rPr>
          <w:rFonts w:ascii="Book Antiqua" w:eastAsia="Times New Roman" w:hAnsi="Book Antiqua" w:cs="Times New Roman"/>
          <w:color w:val="6C4C29"/>
          <w:sz w:val="24"/>
          <w:szCs w:val="24"/>
          <w:lang w:eastAsia="sk-SK"/>
        </w:rPr>
        <w:t>Poznáme to, že nie všetky dni nášho života sú ožiarené svetlom radosti. Poznáme situácie, v ktorých zažijeme nespokojnosť a sklamanie, utrpenie a bolesť. Neviem prečo, ale mám dojem, že okolo mňa je množstvo ľudí, ktorí celý svoj život akoby žili v takýchto depresívnych stavoch. Keď hľadím na tváre ľudí kráčajúcich po ulici, cestujúcich v autobuse alebo vo vlaku, ešte aj tí mladí v prednáškových miestnostiach na univerzite sa správajú, akoby im všetko nešťastie padlo do náručia. A pritom máme neskutočné šťastie, že žijeme v krajine, kde riziko vojny je minimálne; kde nepoznáme, čo je hlad; kde sa neumiera na ceste. Čo nám chýba, aby sme aj v tých pár tragických momentoch prežívali vnútornú radosť?</w:t>
      </w:r>
      <w:r w:rsidRPr="00053250">
        <w:rPr>
          <w:rFonts w:ascii="Book Antiqua" w:eastAsia="Times New Roman" w:hAnsi="Book Antiqua" w:cs="Times New Roman"/>
          <w:color w:val="6C4C29"/>
          <w:sz w:val="24"/>
          <w:szCs w:val="24"/>
          <w:lang w:eastAsia="sk-SK"/>
        </w:rPr>
        <w:br/>
        <w:t>Prijať vykúpenie, to čo ponúka Kristus. Nechať sa objať Kristovým výkupným dielom. Urobí to z nás ľudí slobodných, ktorí dokážu priniesť tomuto svetu radosť. Staneme sa novými nádobami, ponúkajúcimi nové víno.</w:t>
      </w:r>
    </w:p>
    <w:p w:rsidR="001B0DE8" w:rsidRPr="00053250" w:rsidRDefault="001B0DE8" w:rsidP="00FF63D8">
      <w:pPr>
        <w:ind w:left="-851" w:right="-851"/>
        <w:rPr>
          <w:rFonts w:ascii="Book Antiqua" w:hAnsi="Book Antiqua"/>
          <w:sz w:val="24"/>
          <w:szCs w:val="24"/>
        </w:rPr>
      </w:pPr>
    </w:p>
    <w:sectPr w:rsidR="001B0DE8" w:rsidRPr="00053250" w:rsidSect="00FF63D8">
      <w:pgSz w:w="11906" w:h="16838"/>
      <w:pgMar w:top="284" w:right="1417" w:bottom="426"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mp;quot">
    <w:altName w:val="Cambria"/>
    <w:panose1 w:val="00000000000000000000"/>
    <w:charset w:val="00"/>
    <w:family w:val="roman"/>
    <w:notTrueType/>
    <w:pitch w:val="default"/>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33C3C"/>
    <w:rsid w:val="00053250"/>
    <w:rsid w:val="00056E54"/>
    <w:rsid w:val="001B0DE8"/>
    <w:rsid w:val="00246E9F"/>
    <w:rsid w:val="00625818"/>
    <w:rsid w:val="0066069B"/>
    <w:rsid w:val="00733C3C"/>
    <w:rsid w:val="00747C09"/>
    <w:rsid w:val="008A3845"/>
    <w:rsid w:val="00B30BB2"/>
    <w:rsid w:val="00C14A03"/>
    <w:rsid w:val="00CA6AC4"/>
    <w:rsid w:val="00FF63D8"/>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19631"/>
  <w15:docId w15:val="{A02B9B42-5BDC-47C0-9F7A-A835BA78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rsid w:val="00747C09"/>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FF63D8"/>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styleId="Textbubliny">
    <w:name w:val="Balloon Text"/>
    <w:basedOn w:val="Normlny"/>
    <w:link w:val="TextbublinyChar"/>
    <w:uiPriority w:val="99"/>
    <w:semiHidden/>
    <w:unhideWhenUsed/>
    <w:rsid w:val="00053250"/>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05325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287154">
      <w:bodyDiv w:val="1"/>
      <w:marLeft w:val="0"/>
      <w:marRight w:val="0"/>
      <w:marTop w:val="0"/>
      <w:marBottom w:val="0"/>
      <w:divBdr>
        <w:top w:val="none" w:sz="0" w:space="0" w:color="auto"/>
        <w:left w:val="none" w:sz="0" w:space="0" w:color="auto"/>
        <w:bottom w:val="none" w:sz="0" w:space="0" w:color="auto"/>
        <w:right w:val="none" w:sz="0" w:space="0" w:color="auto"/>
      </w:divBdr>
    </w:div>
    <w:div w:id="1313832395">
      <w:bodyDiv w:val="1"/>
      <w:marLeft w:val="0"/>
      <w:marRight w:val="0"/>
      <w:marTop w:val="0"/>
      <w:marBottom w:val="0"/>
      <w:divBdr>
        <w:top w:val="none" w:sz="0" w:space="0" w:color="auto"/>
        <w:left w:val="none" w:sz="0" w:space="0" w:color="auto"/>
        <w:bottom w:val="none" w:sz="0" w:space="0" w:color="auto"/>
        <w:right w:val="none" w:sz="0" w:space="0" w:color="auto"/>
      </w:divBdr>
    </w:div>
    <w:div w:id="1559710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2755</TotalTime>
  <Pages>6</Pages>
  <Words>1901</Words>
  <Characters>10841</Characters>
  <Application>Microsoft Office Word</Application>
  <DocSecurity>0</DocSecurity>
  <Lines>90</Lines>
  <Paragraphs>25</Paragraphs>
  <ScaleCrop>false</ScaleCrop>
  <HeadingPairs>
    <vt:vector size="4" baseType="variant">
      <vt:variant>
        <vt:lpstr>Názov</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Egid</cp:lastModifiedBy>
  <cp:revision>5</cp:revision>
  <cp:lastPrinted>2019-01-21T16:31:00Z</cp:lastPrinted>
  <dcterms:created xsi:type="dcterms:W3CDTF">2009-01-19T11:59:00Z</dcterms:created>
  <dcterms:modified xsi:type="dcterms:W3CDTF">2019-01-23T15:16:00Z</dcterms:modified>
</cp:coreProperties>
</file>