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1F63C5B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>Bc. Kristína Chovancová</w:t>
            </w:r>
          </w:p>
        </w:tc>
        <w:tc>
          <w:tcPr>
            <w:tcW w:w="1559" w:type="dxa"/>
            <w:shd w:val="clear" w:color="auto" w:fill="auto"/>
          </w:tcPr>
          <w:p w14:paraId="00DBEC9C" w14:textId="1E70C1E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>5</w:t>
            </w:r>
            <w:r w:rsidRPr="008A57EE"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2B7EFB1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Kombinácia:</w:t>
            </w:r>
            <w:r w:rsidR="008A57E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8A57EE" w:rsidRPr="008A57EE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8A57EE">
              <w:rPr>
                <w:rFonts w:ascii="Calibri" w:hAnsi="Calibri"/>
                <w:sz w:val="20"/>
                <w:szCs w:val="20"/>
              </w:rPr>
              <w:t xml:space="preserve"> 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561998C6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8A57E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37AFFB7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7246BA9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8A57E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8A57EE" w:rsidRPr="008A57EE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2C4B7089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8A57E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>IV.O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777777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</w:p>
        </w:tc>
        <w:tc>
          <w:tcPr>
            <w:tcW w:w="2126" w:type="dxa"/>
            <w:shd w:val="clear" w:color="auto" w:fill="auto"/>
          </w:tcPr>
          <w:p w14:paraId="45F97671" w14:textId="6EEAF1CD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8A57E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>12.9.2022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C95931B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8A57E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8A57EE" w:rsidRPr="008A57EE">
              <w:rPr>
                <w:rFonts w:ascii="Calibri" w:hAnsi="Calibri"/>
                <w:sz w:val="20"/>
                <w:szCs w:val="20"/>
              </w:rPr>
              <w:t>Opakovanie učiva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51393964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1B5B8F37" w14:textId="1414B753" w:rsidR="008A57EE" w:rsidRPr="00E84258" w:rsidRDefault="008A57EE" w:rsidP="008A57E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E84258">
              <w:rPr>
                <w:rFonts w:ascii="Calibri" w:hAnsi="Calibri"/>
                <w:sz w:val="20"/>
                <w:szCs w:val="20"/>
              </w:rPr>
              <w:t>Žiak dokáže samostatne opísať zloženie atómu.</w:t>
            </w:r>
          </w:p>
          <w:p w14:paraId="79C997A8" w14:textId="20F61532" w:rsidR="008A57EE" w:rsidRPr="00E84258" w:rsidRDefault="008A57EE" w:rsidP="008A57E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E84258">
              <w:rPr>
                <w:rFonts w:ascii="Calibri" w:hAnsi="Calibri"/>
                <w:sz w:val="20"/>
                <w:szCs w:val="20"/>
              </w:rPr>
              <w:t>Žiak vie vymenovať základné typy chemických väzieb a priradiť k ním príklad.</w:t>
            </w:r>
          </w:p>
          <w:p w14:paraId="1B97E7B2" w14:textId="7E6B24C2" w:rsidR="008A57EE" w:rsidRPr="00E84258" w:rsidRDefault="008A57EE" w:rsidP="008A57E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E84258">
              <w:rPr>
                <w:rFonts w:ascii="Calibri" w:hAnsi="Calibri"/>
                <w:sz w:val="20"/>
                <w:szCs w:val="20"/>
              </w:rPr>
              <w:t>Žiak ovláda rozdiel medzi redukciou a oxidáciou.</w:t>
            </w:r>
          </w:p>
          <w:p w14:paraId="6F6E3211" w14:textId="4147DBD2" w:rsidR="008A57EE" w:rsidRPr="00E84258" w:rsidRDefault="008A57EE" w:rsidP="008A57E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E84258">
              <w:rPr>
                <w:rFonts w:ascii="Calibri" w:hAnsi="Calibri"/>
                <w:sz w:val="20"/>
                <w:szCs w:val="20"/>
              </w:rPr>
              <w:t xml:space="preserve">Žiak pomocou periodickej sústavy prvkov dokáže určiť kovy, </w:t>
            </w:r>
            <w:proofErr w:type="spellStart"/>
            <w:r w:rsidRPr="00E84258">
              <w:rPr>
                <w:rFonts w:ascii="Calibri" w:hAnsi="Calibri"/>
                <w:sz w:val="20"/>
                <w:szCs w:val="20"/>
              </w:rPr>
              <w:t>polokovy</w:t>
            </w:r>
            <w:proofErr w:type="spellEnd"/>
            <w:r w:rsidRPr="00E84258">
              <w:rPr>
                <w:rFonts w:ascii="Calibri" w:hAnsi="Calibri"/>
                <w:sz w:val="20"/>
                <w:szCs w:val="20"/>
              </w:rPr>
              <w:t>, nekovy.</w:t>
            </w:r>
          </w:p>
          <w:p w14:paraId="7CC8D848" w14:textId="70385E88" w:rsidR="008A57EE" w:rsidRPr="00E84258" w:rsidRDefault="008A57EE" w:rsidP="008A57E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E84258">
              <w:rPr>
                <w:rFonts w:ascii="Calibri" w:hAnsi="Calibri"/>
                <w:sz w:val="20"/>
                <w:szCs w:val="20"/>
              </w:rPr>
              <w:t>Žiak dokáže samostatne vyrovnávať chemické rovnice.</w:t>
            </w:r>
          </w:p>
          <w:p w14:paraId="672A6659" w14:textId="77777777" w:rsidR="0054074A" w:rsidRPr="008F02CE" w:rsidRDefault="0054074A" w:rsidP="008971D0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vysvetľovanie,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(pojmové mapovanie, ústne opakovanie učiva, metóda kladenie otázok,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hodnotenie učiteľom, sebahodnotenie žiaka, hodnotenie spolužiaka, slovné hodnotenie (pochvala, povzbudenie,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tabuľa,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510B038F" w:rsidR="00D96A11" w:rsidRDefault="00DC717E" w:rsidP="00283921">
            <w:pPr>
              <w:ind w:firstLine="0"/>
            </w:pPr>
            <w:r>
              <w:t>1 min</w:t>
            </w:r>
          </w:p>
        </w:tc>
        <w:tc>
          <w:tcPr>
            <w:tcW w:w="9146" w:type="dxa"/>
          </w:tcPr>
          <w:p w14:paraId="7A217C0C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45C7BFA7" w:rsidR="00E84258" w:rsidRPr="00C5690D" w:rsidRDefault="00E84258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C5690D">
              <w:rPr>
                <w:bCs/>
                <w:sz w:val="22"/>
                <w:szCs w:val="22"/>
              </w:rPr>
              <w:t>Na úvod hodiny sa predstavím a zistím počet chýbajúcich žiakov.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5E74B2CF" w:rsidR="00D96A11" w:rsidRDefault="00DC717E" w:rsidP="00283921">
            <w:pPr>
              <w:ind w:firstLine="0"/>
            </w:pPr>
            <w:r>
              <w:t>2 min</w:t>
            </w:r>
          </w:p>
        </w:tc>
        <w:tc>
          <w:tcPr>
            <w:tcW w:w="9146" w:type="dxa"/>
          </w:tcPr>
          <w:p w14:paraId="5289069C" w14:textId="77777777" w:rsidR="00E84258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230162A3" w:rsidR="00E84258" w:rsidRPr="00D76F51" w:rsidRDefault="00E84258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D76F5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Žiakov oboznámim s dnešnou témou </w:t>
            </w:r>
            <w:r w:rsidR="00D76F51" w:rsidRPr="00D76F5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a načo sa spoločne zameriame.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1AFC4311" w:rsidR="00D96A11" w:rsidRDefault="00DC717E" w:rsidP="00283921">
            <w:pPr>
              <w:ind w:firstLine="0"/>
            </w:pPr>
            <w:r>
              <w:t>7 min</w:t>
            </w:r>
          </w:p>
        </w:tc>
        <w:tc>
          <w:tcPr>
            <w:tcW w:w="9146" w:type="dxa"/>
          </w:tcPr>
          <w:p w14:paraId="1E09D97A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14A2CF35" w:rsidR="00D76F51" w:rsidRPr="00D76F51" w:rsidRDefault="00D76F51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D76F51">
              <w:rPr>
                <w:bCs/>
                <w:sz w:val="22"/>
                <w:szCs w:val="22"/>
              </w:rPr>
              <w:t>Na zopakovanie predošlej látky, ktorou boli značky prvkov v periodickej tabuľke im zadám krátku písomku na overenie ich vedomostí.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4F677E75" w:rsidR="00D96A11" w:rsidRDefault="00DC717E" w:rsidP="00283921">
            <w:pPr>
              <w:ind w:firstLine="0"/>
            </w:pPr>
            <w:r>
              <w:t>17 min</w:t>
            </w:r>
          </w:p>
        </w:tc>
        <w:tc>
          <w:tcPr>
            <w:tcW w:w="9146" w:type="dxa"/>
          </w:tcPr>
          <w:p w14:paraId="5CA49034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D966544" w14:textId="10330FF3" w:rsidR="00D76F51" w:rsidRPr="00B920F0" w:rsidRDefault="00D76F51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B920F0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Vo fáze motivácie žiakom prostredníctvom vopred pripraveného pracovného listu zadám úlohy na dopĺňanie textu na vyznačené miesta.</w:t>
            </w:r>
            <w:r w:rsidR="00B920F0" w:rsidRPr="00B920F0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Príklady, ktoré je potrebné nakresliť alebo napísať pre správnosť v ich listoch zapisujem na tabuľu.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488B831C" w:rsidR="00D96A11" w:rsidRDefault="00DC717E" w:rsidP="00283921">
            <w:pPr>
              <w:ind w:firstLine="0"/>
            </w:pPr>
            <w:r>
              <w:t>15 min</w:t>
            </w:r>
          </w:p>
        </w:tc>
        <w:tc>
          <w:tcPr>
            <w:tcW w:w="9146" w:type="dxa"/>
          </w:tcPr>
          <w:p w14:paraId="775C1D7A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0D4DDCE3" w:rsidR="00D76F51" w:rsidRPr="00B920F0" w:rsidRDefault="00D76F51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B920F0">
              <w:rPr>
                <w:bCs/>
                <w:sz w:val="22"/>
                <w:szCs w:val="22"/>
              </w:rPr>
              <w:lastRenderedPageBreak/>
              <w:t>V rámci prehlbovania učiva žiakov postupne vyvolávam a jednotlivo im kladiem otázky, aby doplnili chýbajúci text.</w:t>
            </w:r>
            <w:r w:rsidR="00B920F0" w:rsidRPr="00B920F0">
              <w:rPr>
                <w:bCs/>
                <w:sz w:val="22"/>
                <w:szCs w:val="22"/>
              </w:rPr>
              <w:t xml:space="preserve"> Niektorých žiakov vyvolám aj k tabuli kvôli samostatnosti a lepšiemu pochopeniu učiva.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14CAA99A" w:rsidR="00D96A11" w:rsidRDefault="00DC717E" w:rsidP="00283921">
            <w:pPr>
              <w:ind w:firstLine="0"/>
            </w:pPr>
            <w:r>
              <w:t>2 min</w:t>
            </w:r>
          </w:p>
        </w:tc>
        <w:tc>
          <w:tcPr>
            <w:tcW w:w="9146" w:type="dxa"/>
          </w:tcPr>
          <w:p w14:paraId="7AB073EE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2FF54233" w:rsidR="00B920F0" w:rsidRPr="00AD0C5B" w:rsidRDefault="00B920F0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AD0C5B">
              <w:rPr>
                <w:bCs/>
                <w:sz w:val="22"/>
                <w:szCs w:val="22"/>
              </w:rPr>
              <w:t>Žiakom zadám iba slovnú domácu úlohu nech si zopakujú značky prvkov, ak s tým mali na písomke problém a</w:t>
            </w:r>
            <w:r w:rsidR="00AD0C5B" w:rsidRPr="00AD0C5B">
              <w:rPr>
                <w:bCs/>
                <w:sz w:val="22"/>
                <w:szCs w:val="22"/>
              </w:rPr>
              <w:t> aby si zopakovali učivo, ktoré sa preberalo na dnešnej hodine.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6F0BACD8" w:rsidR="00D96A11" w:rsidRDefault="00DC717E" w:rsidP="00283921">
            <w:pPr>
              <w:ind w:firstLine="0"/>
            </w:pPr>
            <w:r>
              <w:t>1 min</w:t>
            </w:r>
          </w:p>
        </w:tc>
        <w:tc>
          <w:tcPr>
            <w:tcW w:w="9146" w:type="dxa"/>
          </w:tcPr>
          <w:p w14:paraId="71B1438B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 záver</w:t>
            </w:r>
          </w:p>
          <w:p w14:paraId="6C3ED077" w14:textId="1B6FBADF" w:rsidR="00AD0C5B" w:rsidRPr="00AD0C5B" w:rsidRDefault="00AD0C5B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AD0C5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Žiakom poďakujem a ukončím hodinu.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777777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2486C05" w14:textId="77777777" w:rsidR="002C12E0" w:rsidRDefault="002C12E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E84258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E84258">
        <w:rPr>
          <w:rFonts w:ascii="Calibri" w:hAnsi="Calibri"/>
          <w:b/>
          <w:sz w:val="20"/>
          <w:szCs w:val="20"/>
        </w:rPr>
        <w:t>Podpis cvičného učiteľa .........................</w:t>
      </w:r>
    </w:p>
    <w:sectPr w:rsidR="00FD732C" w:rsidRPr="00E84258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9600A"/>
    <w:multiLevelType w:val="hybridMultilevel"/>
    <w:tmpl w:val="596A9466"/>
    <w:lvl w:ilvl="0" w:tplc="BE369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103040">
    <w:abstractNumId w:val="4"/>
  </w:num>
  <w:num w:numId="2" w16cid:durableId="156578945">
    <w:abstractNumId w:val="9"/>
  </w:num>
  <w:num w:numId="3" w16cid:durableId="1576821490">
    <w:abstractNumId w:val="1"/>
  </w:num>
  <w:num w:numId="4" w16cid:durableId="1822648632">
    <w:abstractNumId w:val="7"/>
  </w:num>
  <w:num w:numId="5" w16cid:durableId="391464762">
    <w:abstractNumId w:val="15"/>
  </w:num>
  <w:num w:numId="6" w16cid:durableId="2059745037">
    <w:abstractNumId w:val="6"/>
  </w:num>
  <w:num w:numId="7" w16cid:durableId="182136599">
    <w:abstractNumId w:val="0"/>
  </w:num>
  <w:num w:numId="8" w16cid:durableId="339551885">
    <w:abstractNumId w:val="5"/>
  </w:num>
  <w:num w:numId="9" w16cid:durableId="962689585">
    <w:abstractNumId w:val="24"/>
  </w:num>
  <w:num w:numId="10" w16cid:durableId="737215889">
    <w:abstractNumId w:val="3"/>
  </w:num>
  <w:num w:numId="11" w16cid:durableId="201947481">
    <w:abstractNumId w:val="17"/>
  </w:num>
  <w:num w:numId="12" w16cid:durableId="2061202737">
    <w:abstractNumId w:val="21"/>
  </w:num>
  <w:num w:numId="13" w16cid:durableId="1932615774">
    <w:abstractNumId w:val="18"/>
  </w:num>
  <w:num w:numId="14" w16cid:durableId="475494246">
    <w:abstractNumId w:val="16"/>
  </w:num>
  <w:num w:numId="15" w16cid:durableId="1408914242">
    <w:abstractNumId w:val="10"/>
  </w:num>
  <w:num w:numId="16" w16cid:durableId="1011104804">
    <w:abstractNumId w:val="14"/>
  </w:num>
  <w:num w:numId="17" w16cid:durableId="493499803">
    <w:abstractNumId w:val="23"/>
  </w:num>
  <w:num w:numId="18" w16cid:durableId="2100829739">
    <w:abstractNumId w:val="22"/>
  </w:num>
  <w:num w:numId="19" w16cid:durableId="450057130">
    <w:abstractNumId w:val="8"/>
  </w:num>
  <w:num w:numId="20" w16cid:durableId="1645961474">
    <w:abstractNumId w:val="2"/>
  </w:num>
  <w:num w:numId="21" w16cid:durableId="2093351672">
    <w:abstractNumId w:val="13"/>
  </w:num>
  <w:num w:numId="22" w16cid:durableId="1428698418">
    <w:abstractNumId w:val="20"/>
  </w:num>
  <w:num w:numId="23" w16cid:durableId="517083125">
    <w:abstractNumId w:val="19"/>
  </w:num>
  <w:num w:numId="24" w16cid:durableId="473451124">
    <w:abstractNumId w:val="11"/>
  </w:num>
  <w:num w:numId="25" w16cid:durableId="1846403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6688F"/>
    <w:rsid w:val="001A4368"/>
    <w:rsid w:val="001F29D4"/>
    <w:rsid w:val="002721A7"/>
    <w:rsid w:val="00283921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C5B74"/>
    <w:rsid w:val="00514EC2"/>
    <w:rsid w:val="0054074A"/>
    <w:rsid w:val="00561875"/>
    <w:rsid w:val="00572AAF"/>
    <w:rsid w:val="00601439"/>
    <w:rsid w:val="006325A2"/>
    <w:rsid w:val="006639B6"/>
    <w:rsid w:val="006A5CBC"/>
    <w:rsid w:val="006B3124"/>
    <w:rsid w:val="006C5267"/>
    <w:rsid w:val="00725948"/>
    <w:rsid w:val="00751070"/>
    <w:rsid w:val="00791634"/>
    <w:rsid w:val="007F3F9E"/>
    <w:rsid w:val="00855336"/>
    <w:rsid w:val="0086717F"/>
    <w:rsid w:val="008971D0"/>
    <w:rsid w:val="008A57EE"/>
    <w:rsid w:val="008B1342"/>
    <w:rsid w:val="008E25AF"/>
    <w:rsid w:val="009062DA"/>
    <w:rsid w:val="009306E4"/>
    <w:rsid w:val="009545A8"/>
    <w:rsid w:val="00954E37"/>
    <w:rsid w:val="009835EC"/>
    <w:rsid w:val="009C1DFF"/>
    <w:rsid w:val="00A07F42"/>
    <w:rsid w:val="00A15177"/>
    <w:rsid w:val="00A8134A"/>
    <w:rsid w:val="00AA12C7"/>
    <w:rsid w:val="00AD0C5B"/>
    <w:rsid w:val="00AD42A5"/>
    <w:rsid w:val="00AD7DB5"/>
    <w:rsid w:val="00AF2AD9"/>
    <w:rsid w:val="00B2170D"/>
    <w:rsid w:val="00B441C8"/>
    <w:rsid w:val="00B528C8"/>
    <w:rsid w:val="00B67470"/>
    <w:rsid w:val="00B920F0"/>
    <w:rsid w:val="00BE7B35"/>
    <w:rsid w:val="00BE7F8B"/>
    <w:rsid w:val="00C014BD"/>
    <w:rsid w:val="00C5690D"/>
    <w:rsid w:val="00C615FF"/>
    <w:rsid w:val="00CA6F90"/>
    <w:rsid w:val="00D37037"/>
    <w:rsid w:val="00D4269F"/>
    <w:rsid w:val="00D5716D"/>
    <w:rsid w:val="00D6719B"/>
    <w:rsid w:val="00D76F51"/>
    <w:rsid w:val="00D96A11"/>
    <w:rsid w:val="00D97D61"/>
    <w:rsid w:val="00DA6379"/>
    <w:rsid w:val="00DC717E"/>
    <w:rsid w:val="00DF1061"/>
    <w:rsid w:val="00E84258"/>
    <w:rsid w:val="00E852E1"/>
    <w:rsid w:val="00EC7BE4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Kristína Chovancová</cp:lastModifiedBy>
  <cp:revision>14</cp:revision>
  <cp:lastPrinted>2015-02-09T08:21:00Z</cp:lastPrinted>
  <dcterms:created xsi:type="dcterms:W3CDTF">2022-02-06T16:03:00Z</dcterms:created>
  <dcterms:modified xsi:type="dcterms:W3CDTF">2022-09-12T18:13:00Z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