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CA2462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2021/2022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>. R. Burčák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Andraško,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PaedDr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>, M. Helcmanovská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MŠVVaŠ SR</w:t>
      </w:r>
      <w:r w:rsidR="00CA2462">
        <w:rPr>
          <w:rFonts w:ascii="Times New Roman" w:hAnsi="Times New Roman" w:cs="Times New Roman"/>
          <w:sz w:val="24"/>
          <w:szCs w:val="24"/>
        </w:rPr>
        <w:t xml:space="preserve"> na školský rok 2021/2022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CA2462">
        <w:rPr>
          <w:rFonts w:ascii="Times New Roman" w:hAnsi="Times New Roman" w:cs="Times New Roman"/>
          <w:b/>
          <w:bCs/>
          <w:sz w:val="24"/>
          <w:szCs w:val="24"/>
          <w:u w:val="single"/>
        </w:rPr>
        <w:t>22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MŠVVaŠ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u žiakov predčitateľskú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>enovať zvýšenú  pozornosť téme bezpečnosti na internete a ochrane žiakov pred kyberšikanou.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>ytvárať v škole priaznivú klímu pre všetkých zásadou, že každý z nás je iný so zameraním na zdravotne postihnutých žiakov a žiakov rôznych etnických skupín a národnostných menšín, inkluzívnym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2021/2022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Burčák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 xml:space="preserve">pomôcok DEJ, NAS a OBN a za </w:t>
      </w:r>
      <w:r w:rsidR="008F34BA">
        <w:rPr>
          <w:rFonts w:cs="Times New Roman"/>
          <w:b/>
          <w:sz w:val="24"/>
          <w:szCs w:val="24"/>
        </w:rPr>
        <w:t>fotogalériu školy a príspevky na web stránku školy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Blahovská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Blahovská,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 xml:space="preserve">R. Andraško – zodpovedný </w:t>
      </w:r>
      <w:r w:rsidRPr="00C3182B">
        <w:rPr>
          <w:rFonts w:cs="Times New Roman"/>
          <w:b/>
          <w:sz w:val="24"/>
          <w:szCs w:val="24"/>
        </w:rPr>
        <w:t>za aktivity  TŠV</w:t>
      </w:r>
      <w:r w:rsidR="00E65F67">
        <w:rPr>
          <w:rFonts w:cs="Times New Roman"/>
          <w:b/>
          <w:sz w:val="24"/>
          <w:szCs w:val="24"/>
        </w:rPr>
        <w:t>, kabinet TŠV, koordinátor informatiz</w:t>
      </w:r>
      <w:bookmarkStart w:id="0" w:name="_GoBack"/>
      <w:bookmarkEnd w:id="0"/>
      <w:r w:rsidR="00E65F67">
        <w:rPr>
          <w:rFonts w:cs="Times New Roman"/>
          <w:b/>
          <w:sz w:val="24"/>
          <w:szCs w:val="24"/>
        </w:rPr>
        <w:t>ácie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243DFF">
        <w:rPr>
          <w:rFonts w:ascii="Times New Roman" w:hAnsi="Times New Roman" w:cs="Times New Roman"/>
          <w:sz w:val="24"/>
          <w:szCs w:val="24"/>
        </w:rPr>
        <w:t>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243DFF">
        <w:rPr>
          <w:rFonts w:ascii="Times New Roman" w:hAnsi="Times New Roman" w:cs="Times New Roman"/>
          <w:sz w:val="24"/>
          <w:szCs w:val="24"/>
        </w:rPr>
        <w:t>eptember 2021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243DFF">
        <w:rPr>
          <w:rFonts w:ascii="Times New Roman" w:hAnsi="Times New Roman" w:cs="Times New Roman"/>
          <w:sz w:val="24"/>
          <w:szCs w:val="24"/>
        </w:rPr>
        <w:t>021, február 2022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243DFF">
        <w:rPr>
          <w:rFonts w:ascii="Times New Roman" w:hAnsi="Times New Roman" w:cs="Times New Roman"/>
          <w:sz w:val="24"/>
          <w:szCs w:val="24"/>
        </w:rPr>
        <w:t>2, jún 2022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>vzhľadom na  možností ohrozenia Covid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734F27" w:rsidRDefault="00954A13" w:rsidP="002D0933">
      <w:pPr>
        <w:rPr>
          <w:rFonts w:ascii="Times New Roman" w:hAnsi="Times New Roman" w:cs="Times New Roman"/>
          <w:sz w:val="28"/>
          <w:szCs w:val="28"/>
        </w:rPr>
      </w:pPr>
    </w:p>
    <w:p w:rsidR="00734F27" w:rsidRPr="00734F27" w:rsidRDefault="00734F27" w:rsidP="00734F27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Sekcia slovenského jazyka a literatúra  </w:t>
      </w:r>
      <w:r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harmonogram  podujatí/aktivít  2021/2022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734F27" w:rsidRPr="005024A6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Vargová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734F27" w:rsidRPr="0011237B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Blahovská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2021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734F27" w:rsidRPr="00596FB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HK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2022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Blahovská, Mgr. K. Vargová </w:t>
      </w:r>
    </w:p>
    <w:p w:rsidR="00734F27" w:rsidRDefault="00734F27" w:rsidP="00734F27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734F27" w:rsidRDefault="00734F27" w:rsidP="00734F27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(2. 4.)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734F27" w:rsidRPr="0066690E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2022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2022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Historicko-poznávací zájazd do Talianska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734F27" w:rsidRPr="006C50FC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Pr="007708F9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SJL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2021– jún 2022 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 </w:t>
      </w:r>
    </w:p>
    <w:p w:rsidR="00734F27" w:rsidRPr="001D0136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(výstup z  rozširujúcej hodiny dramatickej výchovy)</w:t>
      </w:r>
    </w:p>
    <w:p w:rsidR="00734F27" w:rsidRPr="009249C1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EČ, PFIČ a ÚF MS zo SJL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Blahovská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SJL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   (1 hod. týždenne)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4E7FB9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734F27" w:rsidRDefault="00734F27" w:rsidP="00734F2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Blahovská)</w:t>
      </w:r>
    </w:p>
    <w:p w:rsidR="00734F27" w:rsidRPr="0011237B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Pr="0011237B" w:rsidRDefault="00734F27" w:rsidP="00734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4F27" w:rsidRDefault="00734F27" w:rsidP="00734F2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4F27" w:rsidRPr="0011237B" w:rsidRDefault="00734F27" w:rsidP="00734F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>
        <w:rPr>
          <w:rFonts w:ascii="Times New Roman" w:hAnsi="Times New Roman" w:cs="Times New Roman"/>
          <w:sz w:val="24"/>
          <w:szCs w:val="24"/>
        </w:rPr>
        <w:t>apríl 2022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734F27" w:rsidRPr="00627615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2021                                                 Mgr. Kamila Blahovská, vyučujúca SJL </w:t>
      </w: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SJL </w:t>
      </w: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F058F3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sz w:val="24"/>
          <w:szCs w:val="24"/>
        </w:rPr>
      </w:pPr>
    </w:p>
    <w:p w:rsidR="00734F27" w:rsidRPr="00734F27" w:rsidRDefault="00734F27" w:rsidP="00734F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4F27">
        <w:rPr>
          <w:rFonts w:ascii="Times New Roman" w:hAnsi="Times New Roman" w:cs="Times New Roman"/>
          <w:b/>
          <w:bCs/>
          <w:sz w:val="24"/>
          <w:szCs w:val="24"/>
        </w:rPr>
        <w:t>PODUJATIA A AKTIVITY  SA BUDÚ REALIZOVAŤ  V ZÁVISLOSTI OD  PANDEMICKEJ SITUÁCIE    V SÚVISLOSTI S COVID-19.</w:t>
      </w:r>
    </w:p>
    <w:p w:rsidR="00734F27" w:rsidRPr="00F058F3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8F34BA" w:rsidRDefault="008F34BA" w:rsidP="00504303"/>
    <w:p w:rsidR="00DC6861" w:rsidRPr="00734F27" w:rsidRDefault="00DC6861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Burčák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Burčák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  <w:r w:rsidRPr="00F80CCE">
        <w:rPr>
          <w:rFonts w:ascii="Times New Roman" w:hAnsi="Times New Roman" w:cs="Times New Roman"/>
          <w:sz w:val="24"/>
          <w:szCs w:val="24"/>
        </w:rPr>
        <w:t>3. Účasť študentov maturitného ročníka na spomienkovom dni k obetiam holokaustu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Burčák</w:t>
      </w:r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Burčák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>ľa počtu žiakov, záujmu žiakov, ich finančných možností, ale tiež podľa situácie ohrozenia Covid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734F27" w:rsidRDefault="00734F27" w:rsidP="00734F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4F27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1/2022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734F27" w:rsidRPr="001D0136" w:rsidRDefault="00734F27" w:rsidP="00734F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4F27" w:rsidRPr="0011237B" w:rsidRDefault="00734F27" w:rsidP="00734F2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Mediálny krúžok:   žiaci  3. A, 2 hod. týždenne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F0F8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2021/2022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Šprincove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8F34BA" w:rsidRDefault="008F34BA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Všeobecný plán TŠV na škole</w:t>
      </w:r>
    </w:p>
    <w:p w:rsidR="00243DFF" w:rsidRDefault="00243DFF" w:rsidP="00243DFF">
      <w:pPr>
        <w:jc w:val="center"/>
        <w:rPr>
          <w:b/>
          <w:sz w:val="28"/>
          <w:szCs w:val="28"/>
        </w:rPr>
      </w:pPr>
    </w:p>
    <w:p w:rsidR="00243DFF" w:rsidRDefault="00243DFF" w:rsidP="00243D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2021/2022</w:t>
      </w:r>
    </w:p>
    <w:p w:rsidR="00243DFF" w:rsidRDefault="00243DFF" w:rsidP="00243DFF"/>
    <w:p w:rsidR="00243DFF" w:rsidRDefault="00243DFF" w:rsidP="00243DFF"/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243DFF" w:rsidRPr="00374342" w:rsidRDefault="00243DFF" w:rsidP="00243DF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</w:t>
      </w:r>
      <w:r>
        <w:rPr>
          <w:rFonts w:ascii="Times New Roman" w:hAnsi="Times New Roman" w:cs="Times New Roman"/>
          <w:sz w:val="24"/>
          <w:szCs w:val="24"/>
        </w:rPr>
        <w:t>lový štadión, hokejový štadión,</w:t>
      </w:r>
      <w:r w:rsidRPr="00374342">
        <w:rPr>
          <w:rFonts w:ascii="Times New Roman" w:hAnsi="Times New Roman" w:cs="Times New Roman"/>
          <w:sz w:val="24"/>
          <w:szCs w:val="24"/>
        </w:rPr>
        <w:t xml:space="preserve"> tenisový kurt, okolie mesta - cvičenia v prírode, plavecký bazén a lyžiarsky areál - výber podľa podmienok.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>ie žiakov, rozvíjanie pohybovo-</w:t>
      </w:r>
      <w:r w:rsidRPr="00374342">
        <w:rPr>
          <w:rFonts w:ascii="Times New Roman" w:hAnsi="Times New Roman" w:cs="Times New Roman"/>
          <w:sz w:val="24"/>
          <w:szCs w:val="24"/>
        </w:rPr>
        <w:t>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pedagogicko-organizač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2021/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>, realizovať aktivi</w:t>
      </w:r>
      <w:r>
        <w:rPr>
          <w:rFonts w:ascii="Times New Roman" w:hAnsi="Times New Roman" w:cs="Times New Roman"/>
          <w:sz w:val="24"/>
          <w:szCs w:val="24"/>
        </w:rPr>
        <w:t xml:space="preserve">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t>životného prostredia, zriaďovať náhradnú zdravotnú telesnú výcho</w:t>
      </w:r>
      <w:r>
        <w:rPr>
          <w:rFonts w:ascii="Times New Roman" w:hAnsi="Times New Roman" w:cs="Times New Roman"/>
          <w:sz w:val="24"/>
          <w:szCs w:val="24"/>
        </w:rPr>
        <w:t xml:space="preserve">vu, spolupracovať so športovými klubmi, </w:t>
      </w:r>
      <w:r w:rsidRPr="00374342">
        <w:rPr>
          <w:rFonts w:ascii="Times New Roman" w:hAnsi="Times New Roman" w:cs="Times New Roman"/>
          <w:sz w:val="24"/>
          <w:szCs w:val="24"/>
        </w:rPr>
        <w:t>vytvárať športové krúžky, viesť evidenciu žiakov, ktorí športujú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kluboch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reprezentantov SR, propagovať športové výsledky žiakov.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374342">
        <w:rPr>
          <w:rFonts w:ascii="Times New Roman" w:hAnsi="Times New Roman" w:cs="Times New Roman"/>
          <w:sz w:val="24"/>
          <w:szCs w:val="24"/>
        </w:rPr>
        <w:t>ŠkVP v šk.</w:t>
      </w:r>
      <w:r>
        <w:rPr>
          <w:rFonts w:ascii="Times New Roman" w:hAnsi="Times New Roman" w:cs="Times New Roman"/>
          <w:sz w:val="24"/>
          <w:szCs w:val="24"/>
        </w:rPr>
        <w:t xml:space="preserve"> roku 2021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>odnotenia a klasifikácie TŠV</w:t>
      </w:r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374342">
        <w:rPr>
          <w:rFonts w:ascii="Times New Roman" w:hAnsi="Times New Roman" w:cs="Times New Roman"/>
          <w:sz w:val="24"/>
          <w:szCs w:val="24"/>
        </w:rPr>
        <w:t>Pri vypracovaní všeobecného plánu telesnej a športovej výchovy sme vychádzali 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lastRenderedPageBreak/>
        <w:t>- výberové tematické celky: florbal,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243DFF" w:rsidRPr="00F152F8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243DFF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374342">
        <w:rPr>
          <w:rFonts w:ascii="Times New Roman" w:hAnsi="Times New Roman" w:cs="Times New Roman"/>
          <w:sz w:val="24"/>
          <w:szCs w:val="24"/>
        </w:rPr>
        <w:t>dlhodobé športové súťaže organizované KSK odborom školstva- volejbal,  florbal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futsal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súťaže organizované MŠVVaŠ SR- cieľom je zúčas</w:t>
      </w:r>
      <w:r>
        <w:rPr>
          <w:rFonts w:ascii="Times New Roman" w:hAnsi="Times New Roman" w:cs="Times New Roman"/>
          <w:sz w:val="24"/>
          <w:szCs w:val="24"/>
        </w:rPr>
        <w:t xml:space="preserve">tniť sa okresných majstrovstiev </w:t>
      </w:r>
      <w:r w:rsidRPr="00374342">
        <w:rPr>
          <w:rFonts w:ascii="Times New Roman" w:hAnsi="Times New Roman" w:cs="Times New Roman"/>
          <w:sz w:val="24"/>
          <w:szCs w:val="24"/>
        </w:rPr>
        <w:t>a 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prípade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postupu aj účasť vybraných družstiev na krajských majstrovstvách</w:t>
      </w:r>
      <w:r>
        <w:rPr>
          <w:rFonts w:ascii="Times New Roman" w:hAnsi="Times New Roman" w:cs="Times New Roman"/>
          <w:sz w:val="24"/>
          <w:szCs w:val="24"/>
        </w:rPr>
        <w:t>. Pre žiakov stredných škôl: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basketbal, </w:t>
      </w:r>
      <w:r w:rsidRPr="00374342">
        <w:rPr>
          <w:rFonts w:ascii="Times New Roman" w:hAnsi="Times New Roman" w:cs="Times New Roman"/>
          <w:sz w:val="24"/>
          <w:szCs w:val="24"/>
        </w:rPr>
        <w:t>florbal</w:t>
      </w:r>
      <w:r>
        <w:rPr>
          <w:rFonts w:ascii="Times New Roman" w:hAnsi="Times New Roman" w:cs="Times New Roman"/>
          <w:sz w:val="24"/>
          <w:szCs w:val="24"/>
        </w:rPr>
        <w:t>, futsal. Pre žiakov základných škôl 2. stupňa: basketbal, atletika, florbal, futbal.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previesť poučenie o bezpečnosti a hygiene na hodinách a spôsob klasifikácie a hodnotenia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testovanie študentov prvého ročníka, vyhodnotenie a oboznámenie s výsledkami</w:t>
      </w: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získavanie informácií o žiakoch pre výber do nasledujúcich súťaží</w:t>
      </w:r>
    </w:p>
    <w:p w:rsidR="00243DFF" w:rsidRPr="00374342" w:rsidRDefault="00243DFF" w:rsidP="00243DFF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TŠV: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Richard Andraško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</w:p>
    <w:p w:rsidR="00243DFF" w:rsidRPr="00374342" w:rsidRDefault="00243DFF" w:rsidP="00243D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243DFF" w:rsidRDefault="00243DFF" w:rsidP="00243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8. 9. 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43DFF" w:rsidRPr="00374342" w:rsidRDefault="00243DFF" w:rsidP="00243DFF">
      <w:pPr>
        <w:ind w:left="2832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......................................                    ....................................</w:t>
      </w:r>
    </w:p>
    <w:p w:rsidR="00243DFF" w:rsidRPr="00374342" w:rsidRDefault="00243DFF" w:rsidP="00243DFF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74342">
        <w:rPr>
          <w:rFonts w:ascii="Times New Roman" w:hAnsi="Times New Roman" w:cs="Times New Roman"/>
          <w:sz w:val="24"/>
          <w:szCs w:val="24"/>
        </w:rPr>
        <w:t>vedúci PK SJL,HP a VP                             riaditeľ školy</w:t>
      </w:r>
    </w:p>
    <w:p w:rsidR="00243DFF" w:rsidRDefault="00243DFF" w:rsidP="00243DFF"/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20" w:rsidRDefault="00AA2C20" w:rsidP="00B42D68">
      <w:r>
        <w:separator/>
      </w:r>
    </w:p>
  </w:endnote>
  <w:endnote w:type="continuationSeparator" w:id="0">
    <w:p w:rsidR="00AA2C20" w:rsidRDefault="00AA2C20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20" w:rsidRDefault="00AA2C20" w:rsidP="00B42D68">
      <w:r>
        <w:separator/>
      </w:r>
    </w:p>
  </w:footnote>
  <w:footnote w:type="continuationSeparator" w:id="0">
    <w:p w:rsidR="00AA2C20" w:rsidRDefault="00AA2C20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3E2057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F0F81"/>
    <w:rsid w:val="008218A3"/>
    <w:rsid w:val="00861B74"/>
    <w:rsid w:val="00872A7F"/>
    <w:rsid w:val="008D1C18"/>
    <w:rsid w:val="008E029F"/>
    <w:rsid w:val="008E3330"/>
    <w:rsid w:val="008F34BA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A2C20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A0567"/>
    <w:rsid w:val="00DC6861"/>
    <w:rsid w:val="00DF59B8"/>
    <w:rsid w:val="00E0076C"/>
    <w:rsid w:val="00E02093"/>
    <w:rsid w:val="00E275FE"/>
    <w:rsid w:val="00E65F67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2C80"/>
  <w15:docId w15:val="{D3CC3218-1F48-431F-A4CC-A91125F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4600</Words>
  <Characters>26221</Characters>
  <Application>Microsoft Office Word</Application>
  <DocSecurity>0</DocSecurity>
  <Lines>218</Lines>
  <Paragraphs>61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student</cp:lastModifiedBy>
  <cp:revision>2</cp:revision>
  <cp:lastPrinted>2015-09-14T11:44:00Z</cp:lastPrinted>
  <dcterms:created xsi:type="dcterms:W3CDTF">2021-09-24T06:56:00Z</dcterms:created>
  <dcterms:modified xsi:type="dcterms:W3CDTF">2021-09-24T06:56:00Z</dcterms:modified>
</cp:coreProperties>
</file>