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168CD" w14:textId="6A58079C" w:rsidR="00AE019F" w:rsidRDefault="00AE019F"/>
    <w:p w14:paraId="4E28E8F4" w14:textId="127DA718" w:rsidR="00680878" w:rsidRDefault="00680878"/>
    <w:p w14:paraId="797FFE03" w14:textId="3E409F11" w:rsidR="00680878" w:rsidRDefault="00680878"/>
    <w:p w14:paraId="50233142" w14:textId="712581E5" w:rsidR="00680878" w:rsidRDefault="00680878"/>
    <w:p w14:paraId="46F534FD" w14:textId="47FE9F0F" w:rsidR="00680878" w:rsidRDefault="00680878"/>
    <w:p w14:paraId="0E28D16D" w14:textId="4EF7074E" w:rsidR="00680878" w:rsidRDefault="00680878"/>
    <w:p w14:paraId="75E02AD4" w14:textId="33D7EBA5" w:rsidR="00680878" w:rsidRDefault="00680878"/>
    <w:p w14:paraId="7D77F0AE" w14:textId="7D5937F2" w:rsidR="00680878" w:rsidRDefault="00680878"/>
    <w:p w14:paraId="62C43F1D" w14:textId="1DB633A6" w:rsidR="00680878" w:rsidRDefault="00680878"/>
    <w:p w14:paraId="71E8214C" w14:textId="71525113" w:rsidR="00680878" w:rsidRDefault="00680878"/>
    <w:p w14:paraId="7DFD3877" w14:textId="766C2317" w:rsidR="00680878" w:rsidRDefault="00680878"/>
    <w:p w14:paraId="4D2DF70F" w14:textId="77777777" w:rsidR="00680878" w:rsidRDefault="00680878" w:rsidP="00680878">
      <w:pPr>
        <w:jc w:val="center"/>
        <w:rPr>
          <w:rFonts w:ascii="Times New Roman" w:hAnsi="Times New Roman" w:cs="Times New Roman"/>
          <w:sz w:val="32"/>
          <w:szCs w:val="32"/>
        </w:rPr>
      </w:pPr>
      <w:r w:rsidRPr="0082752D">
        <w:rPr>
          <w:rFonts w:ascii="Times New Roman" w:hAnsi="Times New Roman" w:cs="Times New Roman"/>
          <w:sz w:val="32"/>
          <w:szCs w:val="32"/>
        </w:rPr>
        <w:t>Základné zásady medzinárodného humanitárneho práva</w:t>
      </w:r>
    </w:p>
    <w:p w14:paraId="2D8B1EEB" w14:textId="1C5F6D1D" w:rsidR="00680878" w:rsidRDefault="00680878" w:rsidP="00680878">
      <w:pPr>
        <w:jc w:val="center"/>
      </w:pPr>
      <w:r>
        <w:t>(semestrálny projekt)</w:t>
      </w:r>
    </w:p>
    <w:p w14:paraId="13E9C1C9" w14:textId="09BC041B" w:rsidR="00680878" w:rsidRDefault="00680878" w:rsidP="00680878">
      <w:pPr>
        <w:jc w:val="center"/>
      </w:pPr>
    </w:p>
    <w:p w14:paraId="0CF6293F" w14:textId="5A991A85" w:rsidR="00680878" w:rsidRDefault="00680878" w:rsidP="00680878">
      <w:pPr>
        <w:jc w:val="center"/>
      </w:pPr>
    </w:p>
    <w:p w14:paraId="3E9B48D7" w14:textId="664648DA" w:rsidR="00680878" w:rsidRDefault="00680878" w:rsidP="00680878">
      <w:pPr>
        <w:jc w:val="center"/>
      </w:pPr>
    </w:p>
    <w:p w14:paraId="3165D0DA" w14:textId="2A0A0620" w:rsidR="00680878" w:rsidRDefault="00680878" w:rsidP="00680878">
      <w:pPr>
        <w:jc w:val="center"/>
      </w:pPr>
    </w:p>
    <w:p w14:paraId="5D99C5AD" w14:textId="6F4165B2" w:rsidR="00680878" w:rsidRDefault="00680878" w:rsidP="00680878">
      <w:pPr>
        <w:jc w:val="center"/>
      </w:pPr>
    </w:p>
    <w:p w14:paraId="3AE7546D" w14:textId="579EAFB0" w:rsidR="00680878" w:rsidRDefault="00680878" w:rsidP="00680878">
      <w:pPr>
        <w:jc w:val="center"/>
      </w:pPr>
    </w:p>
    <w:p w14:paraId="4C861DCD" w14:textId="77777777" w:rsidR="00680878" w:rsidRDefault="00680878" w:rsidP="00680878">
      <w:pPr>
        <w:jc w:val="right"/>
      </w:pPr>
    </w:p>
    <w:p w14:paraId="2B26B691" w14:textId="77777777" w:rsidR="00680878" w:rsidRDefault="00680878" w:rsidP="00680878">
      <w:pPr>
        <w:jc w:val="right"/>
      </w:pPr>
    </w:p>
    <w:p w14:paraId="56321D3B" w14:textId="77777777" w:rsidR="00680878" w:rsidRDefault="00680878" w:rsidP="00680878">
      <w:pPr>
        <w:jc w:val="right"/>
      </w:pPr>
    </w:p>
    <w:p w14:paraId="7B7BD007" w14:textId="77777777" w:rsidR="00680878" w:rsidRDefault="00680878" w:rsidP="00680878">
      <w:pPr>
        <w:jc w:val="right"/>
      </w:pPr>
    </w:p>
    <w:p w14:paraId="10B869D0" w14:textId="77777777" w:rsidR="00680878" w:rsidRDefault="00680878" w:rsidP="00680878">
      <w:pPr>
        <w:jc w:val="right"/>
      </w:pPr>
    </w:p>
    <w:p w14:paraId="18AA395A" w14:textId="77777777" w:rsidR="00680878" w:rsidRDefault="00680878" w:rsidP="00680878">
      <w:pPr>
        <w:jc w:val="right"/>
      </w:pPr>
    </w:p>
    <w:p w14:paraId="7DC6E7D2" w14:textId="0DBFF86E" w:rsidR="00680878" w:rsidRDefault="00680878" w:rsidP="00680878">
      <w:pPr>
        <w:jc w:val="right"/>
      </w:pPr>
      <w:r>
        <w:t>Voj.1.st. Veronika OLEJNÍKOVÁ</w:t>
      </w:r>
    </w:p>
    <w:p w14:paraId="2D3AF8E3" w14:textId="295833E8" w:rsidR="00680878" w:rsidRDefault="00680878" w:rsidP="00680878">
      <w:pPr>
        <w:jc w:val="right"/>
      </w:pPr>
      <w:r>
        <w:t>M11b BOŠ</w:t>
      </w:r>
    </w:p>
    <w:p w14:paraId="37CC062D" w14:textId="5566FDAC" w:rsidR="00680878" w:rsidRDefault="00680878" w:rsidP="00680878">
      <w:pPr>
        <w:jc w:val="right"/>
      </w:pPr>
      <w:r>
        <w:t>2019/2020</w:t>
      </w:r>
    </w:p>
    <w:p w14:paraId="6B1E905D" w14:textId="0E953AAC" w:rsidR="00680878" w:rsidRDefault="00680878" w:rsidP="00680878">
      <w:pPr>
        <w:jc w:val="right"/>
      </w:pPr>
    </w:p>
    <w:p w14:paraId="0DF887C4" w14:textId="127D3549" w:rsidR="00680878" w:rsidRDefault="00680878" w:rsidP="00680878">
      <w:pPr>
        <w:jc w:val="right"/>
      </w:pPr>
    </w:p>
    <w:p w14:paraId="6871E525" w14:textId="74709C0C" w:rsidR="00680878" w:rsidRDefault="00680878" w:rsidP="00680878">
      <w:pPr>
        <w:jc w:val="right"/>
      </w:pPr>
    </w:p>
    <w:sdt>
      <w:sdtPr>
        <w:rPr>
          <w:rFonts w:asciiTheme="minorHAnsi" w:eastAsiaTheme="minorHAnsi" w:hAnsiTheme="minorHAnsi" w:cstheme="minorBidi"/>
          <w:b w:val="0"/>
          <w:sz w:val="22"/>
          <w:szCs w:val="22"/>
          <w:lang w:eastAsia="en-US"/>
        </w:rPr>
        <w:id w:val="1078795123"/>
        <w:docPartObj>
          <w:docPartGallery w:val="Table of Contents"/>
          <w:docPartUnique/>
        </w:docPartObj>
      </w:sdtPr>
      <w:sdtEndPr>
        <w:rPr>
          <w:bCs/>
        </w:rPr>
      </w:sdtEndPr>
      <w:sdtContent>
        <w:p w14:paraId="316886B5" w14:textId="5DC82FEB" w:rsidR="00680878" w:rsidRDefault="00680878">
          <w:pPr>
            <w:pStyle w:val="Hlavikaobsahu"/>
          </w:pPr>
          <w:r>
            <w:t>Obsah</w:t>
          </w:r>
        </w:p>
        <w:p w14:paraId="63E34554" w14:textId="77777777" w:rsidR="00BC6971" w:rsidRPr="00BC6971" w:rsidRDefault="00BC6971" w:rsidP="00BC6971">
          <w:pPr>
            <w:rPr>
              <w:lang w:eastAsia="sk-SK"/>
            </w:rPr>
          </w:pPr>
        </w:p>
        <w:p w14:paraId="50AFA133" w14:textId="58307068" w:rsidR="00DF0B16" w:rsidRDefault="00680878">
          <w:pPr>
            <w:pStyle w:val="Obsah1"/>
            <w:tabs>
              <w:tab w:val="right" w:leader="dot" w:pos="9062"/>
            </w:tabs>
            <w:rPr>
              <w:noProof/>
            </w:rPr>
          </w:pPr>
          <w:r>
            <w:fldChar w:fldCharType="begin"/>
          </w:r>
          <w:r>
            <w:instrText xml:space="preserve"> TOC \o "1-3" \h \z \u </w:instrText>
          </w:r>
          <w:r>
            <w:fldChar w:fldCharType="separate"/>
          </w:r>
          <w:hyperlink w:anchor="_Toc23811650" w:history="1">
            <w:r w:rsidR="00DF0B16" w:rsidRPr="009D5896">
              <w:rPr>
                <w:rStyle w:val="Hypertextovprepojenie"/>
                <w:noProof/>
              </w:rPr>
              <w:t>Úvod</w:t>
            </w:r>
            <w:r w:rsidR="00DF0B16">
              <w:rPr>
                <w:noProof/>
                <w:webHidden/>
              </w:rPr>
              <w:tab/>
            </w:r>
            <w:r w:rsidR="00DF0B16">
              <w:rPr>
                <w:noProof/>
                <w:webHidden/>
              </w:rPr>
              <w:fldChar w:fldCharType="begin"/>
            </w:r>
            <w:r w:rsidR="00DF0B16">
              <w:rPr>
                <w:noProof/>
                <w:webHidden/>
              </w:rPr>
              <w:instrText xml:space="preserve"> PAGEREF _Toc23811650 \h </w:instrText>
            </w:r>
            <w:r w:rsidR="00DF0B16">
              <w:rPr>
                <w:noProof/>
                <w:webHidden/>
              </w:rPr>
            </w:r>
            <w:r w:rsidR="00DF0B16">
              <w:rPr>
                <w:noProof/>
                <w:webHidden/>
              </w:rPr>
              <w:fldChar w:fldCharType="separate"/>
            </w:r>
            <w:r w:rsidR="00DF0B16">
              <w:rPr>
                <w:noProof/>
                <w:webHidden/>
              </w:rPr>
              <w:t>3</w:t>
            </w:r>
            <w:r w:rsidR="00DF0B16">
              <w:rPr>
                <w:noProof/>
                <w:webHidden/>
              </w:rPr>
              <w:fldChar w:fldCharType="end"/>
            </w:r>
          </w:hyperlink>
        </w:p>
        <w:p w14:paraId="7CC80900" w14:textId="1C4A51D6" w:rsidR="00DF0B16" w:rsidRDefault="00754D83">
          <w:pPr>
            <w:pStyle w:val="Obsah1"/>
            <w:tabs>
              <w:tab w:val="right" w:leader="dot" w:pos="9062"/>
            </w:tabs>
            <w:rPr>
              <w:noProof/>
            </w:rPr>
          </w:pPr>
          <w:hyperlink w:anchor="_Toc23811651" w:history="1">
            <w:r w:rsidR="00DF0B16" w:rsidRPr="009D5896">
              <w:rPr>
                <w:rStyle w:val="Hypertextovprepojenie"/>
                <w:noProof/>
              </w:rPr>
              <w:t>1.Medzinárodné humanitárne právo</w:t>
            </w:r>
            <w:r w:rsidR="00DF0B16">
              <w:rPr>
                <w:noProof/>
                <w:webHidden/>
              </w:rPr>
              <w:tab/>
            </w:r>
            <w:r w:rsidR="00DF0B16">
              <w:rPr>
                <w:noProof/>
                <w:webHidden/>
              </w:rPr>
              <w:fldChar w:fldCharType="begin"/>
            </w:r>
            <w:r w:rsidR="00DF0B16">
              <w:rPr>
                <w:noProof/>
                <w:webHidden/>
              </w:rPr>
              <w:instrText xml:space="preserve"> PAGEREF _Toc23811651 \h </w:instrText>
            </w:r>
            <w:r w:rsidR="00DF0B16">
              <w:rPr>
                <w:noProof/>
                <w:webHidden/>
              </w:rPr>
            </w:r>
            <w:r w:rsidR="00DF0B16">
              <w:rPr>
                <w:noProof/>
                <w:webHidden/>
              </w:rPr>
              <w:fldChar w:fldCharType="separate"/>
            </w:r>
            <w:r w:rsidR="00DF0B16">
              <w:rPr>
                <w:noProof/>
                <w:webHidden/>
              </w:rPr>
              <w:t>4</w:t>
            </w:r>
            <w:r w:rsidR="00DF0B16">
              <w:rPr>
                <w:noProof/>
                <w:webHidden/>
              </w:rPr>
              <w:fldChar w:fldCharType="end"/>
            </w:r>
          </w:hyperlink>
        </w:p>
        <w:p w14:paraId="210E3F49" w14:textId="145479EE" w:rsidR="00DF0B16" w:rsidRDefault="00754D83">
          <w:pPr>
            <w:pStyle w:val="Obsah2"/>
            <w:tabs>
              <w:tab w:val="left" w:pos="880"/>
              <w:tab w:val="right" w:leader="dot" w:pos="9062"/>
            </w:tabs>
            <w:rPr>
              <w:noProof/>
            </w:rPr>
          </w:pPr>
          <w:hyperlink w:anchor="_Toc23811652" w:history="1">
            <w:r w:rsidR="00DF0B16" w:rsidRPr="009D5896">
              <w:rPr>
                <w:rStyle w:val="Hypertextovprepojenie"/>
                <w:noProof/>
              </w:rPr>
              <w:t>1.1</w:t>
            </w:r>
            <w:r w:rsidR="00DF0B16">
              <w:rPr>
                <w:noProof/>
              </w:rPr>
              <w:tab/>
            </w:r>
            <w:r w:rsidR="00DF0B16" w:rsidRPr="009D5896">
              <w:rPr>
                <w:rStyle w:val="Hypertextovprepojenie"/>
                <w:noProof/>
              </w:rPr>
              <w:t>Základné zásady medzinárodného humanitárneho práva</w:t>
            </w:r>
            <w:r w:rsidR="00DF0B16">
              <w:rPr>
                <w:noProof/>
                <w:webHidden/>
              </w:rPr>
              <w:tab/>
            </w:r>
            <w:r w:rsidR="00DF0B16">
              <w:rPr>
                <w:noProof/>
                <w:webHidden/>
              </w:rPr>
              <w:fldChar w:fldCharType="begin"/>
            </w:r>
            <w:r w:rsidR="00DF0B16">
              <w:rPr>
                <w:noProof/>
                <w:webHidden/>
              </w:rPr>
              <w:instrText xml:space="preserve"> PAGEREF _Toc23811652 \h </w:instrText>
            </w:r>
            <w:r w:rsidR="00DF0B16">
              <w:rPr>
                <w:noProof/>
                <w:webHidden/>
              </w:rPr>
            </w:r>
            <w:r w:rsidR="00DF0B16">
              <w:rPr>
                <w:noProof/>
                <w:webHidden/>
              </w:rPr>
              <w:fldChar w:fldCharType="separate"/>
            </w:r>
            <w:r w:rsidR="00DF0B16">
              <w:rPr>
                <w:noProof/>
                <w:webHidden/>
              </w:rPr>
              <w:t>5</w:t>
            </w:r>
            <w:r w:rsidR="00DF0B16">
              <w:rPr>
                <w:noProof/>
                <w:webHidden/>
              </w:rPr>
              <w:fldChar w:fldCharType="end"/>
            </w:r>
          </w:hyperlink>
        </w:p>
        <w:p w14:paraId="06200B34" w14:textId="5F6C16B2" w:rsidR="00680878" w:rsidRDefault="00680878" w:rsidP="00680878">
          <w:pPr>
            <w:rPr>
              <w:b/>
              <w:bCs/>
            </w:rPr>
          </w:pPr>
          <w:r>
            <w:rPr>
              <w:b/>
              <w:bCs/>
            </w:rPr>
            <w:fldChar w:fldCharType="end"/>
          </w:r>
        </w:p>
      </w:sdtContent>
    </w:sdt>
    <w:p w14:paraId="03E59A5B" w14:textId="77777777" w:rsidR="00680878" w:rsidRDefault="00680878">
      <w:pPr>
        <w:rPr>
          <w:b/>
          <w:bCs/>
        </w:rPr>
      </w:pPr>
      <w:r>
        <w:rPr>
          <w:b/>
          <w:bCs/>
        </w:rPr>
        <w:br w:type="page"/>
      </w:r>
    </w:p>
    <w:p w14:paraId="16C2824D" w14:textId="79DB7A60" w:rsidR="00680878" w:rsidRDefault="00680878" w:rsidP="00680878">
      <w:pPr>
        <w:pStyle w:val="Nadpis1"/>
      </w:pPr>
      <w:bookmarkStart w:id="0" w:name="_Toc23811650"/>
      <w:r>
        <w:lastRenderedPageBreak/>
        <w:t>Úvod</w:t>
      </w:r>
      <w:bookmarkEnd w:id="0"/>
    </w:p>
    <w:p w14:paraId="73F2AE68" w14:textId="4019BD99" w:rsidR="00680878" w:rsidRDefault="00680878" w:rsidP="00680878"/>
    <w:p w14:paraId="397F96DF" w14:textId="223275F0" w:rsidR="005C4DE5" w:rsidRPr="005C4DE5" w:rsidRDefault="00680878" w:rsidP="00754D83">
      <w:pPr>
        <w:autoSpaceDE w:val="0"/>
        <w:autoSpaceDN w:val="0"/>
        <w:adjustRightInd w:val="0"/>
        <w:spacing w:after="0" w:line="360" w:lineRule="auto"/>
        <w:ind w:firstLine="708"/>
        <w:jc w:val="both"/>
        <w:rPr>
          <w:rFonts w:ascii="Times New Roman" w:hAnsi="Times New Roman" w:cs="Times New Roman"/>
          <w:sz w:val="24"/>
          <w:szCs w:val="24"/>
        </w:rPr>
      </w:pPr>
      <w:r w:rsidRPr="005C4DE5">
        <w:rPr>
          <w:rFonts w:ascii="Times New Roman" w:hAnsi="Times New Roman" w:cs="Times New Roman"/>
          <w:sz w:val="24"/>
          <w:szCs w:val="24"/>
        </w:rPr>
        <w:t>Ozbrojené konflikty sprevádzajú históriu ľudstva takmer od jeho samotného vzniku. I keď sa postupne názory na otázky vojny a mieru menili a vyvíjali, faktom zostáva, že vojna vždy bola, je a zrejme i v budúcnosti bude sú</w:t>
      </w:r>
      <w:r w:rsidR="008903FE" w:rsidRPr="005C4DE5">
        <w:rPr>
          <w:rFonts w:ascii="Times New Roman" w:hAnsi="Times New Roman" w:cs="Times New Roman"/>
          <w:sz w:val="24"/>
          <w:szCs w:val="24"/>
        </w:rPr>
        <w:t>č</w:t>
      </w:r>
      <w:r w:rsidRPr="005C4DE5">
        <w:rPr>
          <w:rFonts w:ascii="Times New Roman" w:hAnsi="Times New Roman" w:cs="Times New Roman"/>
          <w:sz w:val="24"/>
          <w:szCs w:val="24"/>
        </w:rPr>
        <w:t>as</w:t>
      </w:r>
      <w:r w:rsidR="008903FE" w:rsidRPr="005C4DE5">
        <w:rPr>
          <w:rFonts w:ascii="Times New Roman" w:hAnsi="Times New Roman" w:cs="Times New Roman"/>
          <w:sz w:val="24"/>
          <w:szCs w:val="24"/>
        </w:rPr>
        <w:t>ť</w:t>
      </w:r>
      <w:r w:rsidRPr="005C4DE5">
        <w:rPr>
          <w:rFonts w:ascii="Times New Roman" w:hAnsi="Times New Roman" w:cs="Times New Roman"/>
          <w:sz w:val="24"/>
          <w:szCs w:val="24"/>
        </w:rPr>
        <w:t xml:space="preserve">ou </w:t>
      </w:r>
      <w:r w:rsidR="008903FE" w:rsidRPr="005C4DE5">
        <w:rPr>
          <w:rFonts w:ascii="Times New Roman" w:hAnsi="Times New Roman" w:cs="Times New Roman"/>
          <w:sz w:val="24"/>
          <w:szCs w:val="24"/>
        </w:rPr>
        <w:t>ľ</w:t>
      </w:r>
      <w:r w:rsidRPr="005C4DE5">
        <w:rPr>
          <w:rFonts w:ascii="Times New Roman" w:hAnsi="Times New Roman" w:cs="Times New Roman"/>
          <w:sz w:val="24"/>
          <w:szCs w:val="24"/>
        </w:rPr>
        <w:t xml:space="preserve">udského života. Práve vojna je jedným z </w:t>
      </w:r>
      <w:proofErr w:type="spellStart"/>
      <w:r w:rsidRPr="005C4DE5">
        <w:rPr>
          <w:rFonts w:ascii="Times New Roman" w:hAnsi="Times New Roman" w:cs="Times New Roman"/>
          <w:sz w:val="24"/>
          <w:szCs w:val="24"/>
        </w:rPr>
        <w:t>k</w:t>
      </w:r>
      <w:r w:rsidR="008903FE" w:rsidRPr="005C4DE5">
        <w:rPr>
          <w:rFonts w:ascii="Times New Roman" w:hAnsi="Times New Roman" w:cs="Times New Roman"/>
          <w:sz w:val="24"/>
          <w:szCs w:val="24"/>
        </w:rPr>
        <w:t>ľ</w:t>
      </w:r>
      <w:r w:rsidRPr="005C4DE5">
        <w:rPr>
          <w:rFonts w:ascii="Times New Roman" w:hAnsi="Times New Roman" w:cs="Times New Roman"/>
          <w:sz w:val="24"/>
          <w:szCs w:val="24"/>
        </w:rPr>
        <w:t>úcových</w:t>
      </w:r>
      <w:proofErr w:type="spellEnd"/>
      <w:r w:rsidRPr="005C4DE5">
        <w:rPr>
          <w:rFonts w:ascii="Times New Roman" w:hAnsi="Times New Roman" w:cs="Times New Roman"/>
          <w:sz w:val="24"/>
          <w:szCs w:val="24"/>
        </w:rPr>
        <w:t xml:space="preserve"> pojmov pre oblas</w:t>
      </w:r>
      <w:r w:rsidR="008903FE" w:rsidRPr="005C4DE5">
        <w:rPr>
          <w:rFonts w:ascii="Times New Roman" w:hAnsi="Times New Roman" w:cs="Times New Roman"/>
          <w:sz w:val="24"/>
          <w:szCs w:val="24"/>
        </w:rPr>
        <w:t>ť</w:t>
      </w:r>
      <w:r w:rsidRPr="005C4DE5">
        <w:rPr>
          <w:rFonts w:ascii="Times New Roman" w:hAnsi="Times New Roman" w:cs="Times New Roman"/>
          <w:sz w:val="24"/>
          <w:szCs w:val="24"/>
        </w:rPr>
        <w:t xml:space="preserve"> medzinárodného humanitárneho práva.</w:t>
      </w:r>
    </w:p>
    <w:p w14:paraId="42D66599" w14:textId="61ECF44E" w:rsidR="005C4DE5" w:rsidRDefault="005C4DE5" w:rsidP="00754D83">
      <w:pPr>
        <w:autoSpaceDE w:val="0"/>
        <w:autoSpaceDN w:val="0"/>
        <w:adjustRightInd w:val="0"/>
        <w:spacing w:after="0" w:line="360" w:lineRule="auto"/>
        <w:ind w:firstLine="708"/>
        <w:jc w:val="both"/>
        <w:rPr>
          <w:rFonts w:ascii="Times New Roman" w:hAnsi="Times New Roman" w:cs="Times New Roman"/>
          <w:sz w:val="24"/>
          <w:szCs w:val="24"/>
        </w:rPr>
      </w:pPr>
      <w:r w:rsidRPr="005C4DE5">
        <w:rPr>
          <w:rFonts w:ascii="Times New Roman" w:hAnsi="Times New Roman" w:cs="Times New Roman"/>
          <w:sz w:val="24"/>
          <w:szCs w:val="24"/>
        </w:rPr>
        <w:t>Humanitárne právo vychádza zo zásady humanity, pričom je to tá časť medzinárodného práva, ktorá reaguje na potrebu aplikovateľnosti pravidiel v čase ozbrojených konfliktov, či už vnútroštátnych alebo medzinárodných. Zvlášť je zamerané na potrebu riešenia záležitostí humanitárnej povahy. Hlavný cieľom je obmedzenie znepriatelených strán v možnosti použitia akýchkoľvek prostriedkov a spôsobov vedenia ozbrojeného konfliktu za účelom ochrany osôb a majetku.</w:t>
      </w:r>
    </w:p>
    <w:p w14:paraId="5A654181" w14:textId="798EE4A6" w:rsidR="005C4DE5" w:rsidRDefault="005C4DE5" w:rsidP="008903FE">
      <w:pPr>
        <w:autoSpaceDE w:val="0"/>
        <w:autoSpaceDN w:val="0"/>
        <w:adjustRightInd w:val="0"/>
        <w:spacing w:after="0" w:line="360" w:lineRule="auto"/>
        <w:ind w:firstLine="708"/>
        <w:jc w:val="both"/>
        <w:rPr>
          <w:rFonts w:ascii="Times New Roman" w:hAnsi="Times New Roman" w:cs="Times New Roman"/>
          <w:sz w:val="24"/>
          <w:szCs w:val="24"/>
        </w:rPr>
      </w:pPr>
    </w:p>
    <w:p w14:paraId="79E6BEFE" w14:textId="77777777" w:rsidR="005C4DE5" w:rsidRPr="005C4DE5" w:rsidRDefault="005C4DE5" w:rsidP="008903FE">
      <w:pPr>
        <w:autoSpaceDE w:val="0"/>
        <w:autoSpaceDN w:val="0"/>
        <w:adjustRightInd w:val="0"/>
        <w:spacing w:after="0" w:line="360" w:lineRule="auto"/>
        <w:ind w:firstLine="708"/>
        <w:jc w:val="both"/>
        <w:rPr>
          <w:rFonts w:ascii="Times New Roman" w:hAnsi="Times New Roman" w:cs="Times New Roman"/>
          <w:sz w:val="24"/>
          <w:szCs w:val="24"/>
        </w:rPr>
      </w:pPr>
    </w:p>
    <w:p w14:paraId="5077CF47" w14:textId="1F57C70A" w:rsidR="008903FE" w:rsidRDefault="008903FE" w:rsidP="008903FE">
      <w:pPr>
        <w:autoSpaceDE w:val="0"/>
        <w:autoSpaceDN w:val="0"/>
        <w:adjustRightInd w:val="0"/>
        <w:spacing w:after="0" w:line="360" w:lineRule="auto"/>
        <w:ind w:firstLine="708"/>
        <w:jc w:val="both"/>
        <w:rPr>
          <w:rFonts w:ascii="Times New Roman" w:hAnsi="Times New Roman" w:cs="Times New Roman"/>
          <w:sz w:val="24"/>
          <w:szCs w:val="24"/>
        </w:rPr>
      </w:pPr>
    </w:p>
    <w:p w14:paraId="057B81DC" w14:textId="77777777" w:rsidR="008903FE" w:rsidRPr="00680878" w:rsidRDefault="008903FE" w:rsidP="008903FE">
      <w:pPr>
        <w:autoSpaceDE w:val="0"/>
        <w:autoSpaceDN w:val="0"/>
        <w:adjustRightInd w:val="0"/>
        <w:spacing w:after="0" w:line="360" w:lineRule="auto"/>
        <w:ind w:firstLine="708"/>
        <w:jc w:val="both"/>
        <w:rPr>
          <w:rFonts w:ascii="Times New Roman" w:hAnsi="Times New Roman" w:cs="Times New Roman"/>
          <w:sz w:val="24"/>
          <w:szCs w:val="24"/>
        </w:rPr>
      </w:pPr>
    </w:p>
    <w:p w14:paraId="23C95A7C" w14:textId="7EA104C9" w:rsidR="00680878" w:rsidRDefault="00680878" w:rsidP="00680878"/>
    <w:p w14:paraId="024186A3" w14:textId="26D6D92F" w:rsidR="00680878" w:rsidRDefault="00680878" w:rsidP="00680878"/>
    <w:p w14:paraId="1B569BDF" w14:textId="64A6828A" w:rsidR="00680878" w:rsidRDefault="00680878" w:rsidP="00680878"/>
    <w:p w14:paraId="62EAE1BD" w14:textId="67E3084B" w:rsidR="00680878" w:rsidRDefault="00680878" w:rsidP="00680878"/>
    <w:p w14:paraId="0BC21006" w14:textId="2EED6370" w:rsidR="00680878" w:rsidRDefault="00680878" w:rsidP="00680878"/>
    <w:p w14:paraId="640C8E6F" w14:textId="50C134DB" w:rsidR="00680878" w:rsidRDefault="00680878" w:rsidP="00680878"/>
    <w:p w14:paraId="1F158B0E" w14:textId="1884553B" w:rsidR="00680878" w:rsidRDefault="00680878" w:rsidP="00680878"/>
    <w:p w14:paraId="27C6744E" w14:textId="03688CD6" w:rsidR="00680878" w:rsidRDefault="00680878" w:rsidP="00680878"/>
    <w:p w14:paraId="5CEF9F91" w14:textId="6FC975DC" w:rsidR="00680878" w:rsidRDefault="00680878" w:rsidP="00680878"/>
    <w:p w14:paraId="1EBB6040" w14:textId="15683D50" w:rsidR="00680878" w:rsidRDefault="00680878" w:rsidP="00680878"/>
    <w:p w14:paraId="5B04D32B" w14:textId="6325FFCC" w:rsidR="00680878" w:rsidRDefault="00680878" w:rsidP="00680878"/>
    <w:p w14:paraId="43D31385" w14:textId="13A0AA10" w:rsidR="00680878" w:rsidRDefault="00680878" w:rsidP="00680878"/>
    <w:p w14:paraId="380EAF50" w14:textId="1A1F8810" w:rsidR="00680878" w:rsidRDefault="00680878" w:rsidP="00680878"/>
    <w:p w14:paraId="46B38915" w14:textId="77777777" w:rsidR="00754D83" w:rsidRDefault="00754D83" w:rsidP="00680878"/>
    <w:p w14:paraId="0FE6657D" w14:textId="77777777" w:rsidR="00EA3259" w:rsidRDefault="00EA3259" w:rsidP="00680878"/>
    <w:p w14:paraId="0E54B8DC" w14:textId="3F79D349" w:rsidR="00680878" w:rsidRDefault="00680878" w:rsidP="00680878">
      <w:pPr>
        <w:pStyle w:val="Nadpis1"/>
      </w:pPr>
      <w:bookmarkStart w:id="1" w:name="_Toc23811651"/>
      <w:r>
        <w:lastRenderedPageBreak/>
        <w:t>1.Medzinárodné humanitárne právo</w:t>
      </w:r>
      <w:bookmarkEnd w:id="1"/>
      <w:r>
        <w:t xml:space="preserve"> </w:t>
      </w:r>
    </w:p>
    <w:p w14:paraId="3FAB78C7" w14:textId="6E318360" w:rsidR="00680878" w:rsidRDefault="00680878" w:rsidP="00680878"/>
    <w:p w14:paraId="7C89EB63" w14:textId="3F375EAF" w:rsidR="008903FE" w:rsidRDefault="00773EBA" w:rsidP="00754D83">
      <w:pPr>
        <w:autoSpaceDE w:val="0"/>
        <w:autoSpaceDN w:val="0"/>
        <w:adjustRightInd w:val="0"/>
        <w:spacing w:after="0" w:line="360" w:lineRule="auto"/>
        <w:ind w:firstLine="708"/>
        <w:jc w:val="both"/>
        <w:rPr>
          <w:rFonts w:ascii="Times-Roman" w:hAnsi="Times-Roman" w:cs="Times-Roman"/>
          <w:sz w:val="24"/>
          <w:szCs w:val="24"/>
        </w:rPr>
      </w:pPr>
      <w:r>
        <w:rPr>
          <w:rFonts w:ascii="Times-Bold" w:hAnsi="Times-Bold" w:cs="Times-Bold"/>
          <w:b/>
          <w:bCs/>
          <w:sz w:val="24"/>
          <w:szCs w:val="24"/>
        </w:rPr>
        <w:t>„</w:t>
      </w:r>
      <w:r w:rsidR="008903FE">
        <w:rPr>
          <w:rFonts w:ascii="Times-Bold" w:hAnsi="Times-Bold" w:cs="Times-Bold"/>
          <w:b/>
          <w:bCs/>
          <w:sz w:val="24"/>
          <w:szCs w:val="24"/>
        </w:rPr>
        <w:t xml:space="preserve">Medzinárodné humanitárne právo </w:t>
      </w:r>
      <w:r w:rsidR="008903FE">
        <w:rPr>
          <w:rFonts w:ascii="Times-Roman" w:hAnsi="Times-Roman" w:cs="Times-Roman"/>
          <w:sz w:val="24"/>
          <w:szCs w:val="24"/>
        </w:rPr>
        <w:t>(</w:t>
      </w:r>
      <w:r w:rsidR="008903FE">
        <w:rPr>
          <w:rFonts w:ascii="TTFFAC5660t00" w:hAnsi="TTFFAC5660t00" w:cs="TTFFAC5660t00"/>
          <w:sz w:val="24"/>
          <w:szCs w:val="24"/>
        </w:rPr>
        <w:t>ď</w:t>
      </w:r>
      <w:r w:rsidR="008903FE">
        <w:rPr>
          <w:rFonts w:ascii="Times-Roman" w:hAnsi="Times-Roman" w:cs="Times-Roman"/>
          <w:sz w:val="24"/>
          <w:szCs w:val="24"/>
        </w:rPr>
        <w:t>alej len „MHP“) je jednou zo sú</w:t>
      </w:r>
      <w:r w:rsidR="008903FE">
        <w:rPr>
          <w:rFonts w:ascii="TTFFAC5660t00" w:hAnsi="TTFFAC5660t00" w:cs="TTFFAC5660t00"/>
          <w:sz w:val="24"/>
          <w:szCs w:val="24"/>
        </w:rPr>
        <w:t>č</w:t>
      </w:r>
      <w:r w:rsidR="008903FE">
        <w:rPr>
          <w:rFonts w:ascii="Times-Roman" w:hAnsi="Times-Roman" w:cs="Times-Roman"/>
          <w:sz w:val="24"/>
          <w:szCs w:val="24"/>
        </w:rPr>
        <w:t xml:space="preserve">astí medzinárodného práva verejného a svojou povahou predstavuje </w:t>
      </w:r>
      <w:proofErr w:type="spellStart"/>
      <w:r w:rsidR="008903FE">
        <w:rPr>
          <w:rFonts w:ascii="Times-Italic" w:hAnsi="Times-Italic" w:cs="Times-Italic"/>
          <w:i/>
          <w:iCs/>
          <w:sz w:val="24"/>
          <w:szCs w:val="24"/>
        </w:rPr>
        <w:t>ius</w:t>
      </w:r>
      <w:proofErr w:type="spellEnd"/>
      <w:r w:rsidR="008903FE">
        <w:rPr>
          <w:rFonts w:ascii="Times-Italic" w:hAnsi="Times-Italic" w:cs="Times-Italic"/>
          <w:i/>
          <w:iCs/>
          <w:sz w:val="24"/>
          <w:szCs w:val="24"/>
        </w:rPr>
        <w:t xml:space="preserve"> in </w:t>
      </w:r>
      <w:proofErr w:type="spellStart"/>
      <w:r w:rsidR="008903FE">
        <w:rPr>
          <w:rFonts w:ascii="Times-Italic" w:hAnsi="Times-Italic" w:cs="Times-Italic"/>
          <w:i/>
          <w:iCs/>
          <w:sz w:val="24"/>
          <w:szCs w:val="24"/>
        </w:rPr>
        <w:t>bello</w:t>
      </w:r>
      <w:proofErr w:type="spellEnd"/>
      <w:r w:rsidR="008903FE">
        <w:rPr>
          <w:rFonts w:ascii="Times-Roman" w:hAnsi="Times-Roman" w:cs="Times-Roman"/>
          <w:sz w:val="24"/>
          <w:szCs w:val="24"/>
        </w:rPr>
        <w:t>. Pojem MHP je však mladší než pojem vojnové právo, resp. právo ozbrojených konfliktov, ke</w:t>
      </w:r>
      <w:r w:rsidR="008903FE">
        <w:rPr>
          <w:rFonts w:ascii="TTFFAC5660t00" w:hAnsi="TTFFAC5660t00" w:cs="TTFFAC5660t00"/>
          <w:sz w:val="24"/>
          <w:szCs w:val="24"/>
        </w:rPr>
        <w:t>ď</w:t>
      </w:r>
      <w:r w:rsidR="008903FE">
        <w:rPr>
          <w:rFonts w:ascii="Times-Roman" w:hAnsi="Times-Roman" w:cs="Times-Roman"/>
          <w:sz w:val="24"/>
          <w:szCs w:val="24"/>
        </w:rPr>
        <w:t>že bol zavedený až po druhej svetovej vojne, a to z podnetu predstavite</w:t>
      </w:r>
      <w:r w:rsidR="008903FE">
        <w:rPr>
          <w:rFonts w:ascii="TTFFAC5660t00" w:hAnsi="TTFFAC5660t00" w:cs="TTFFAC5660t00"/>
          <w:sz w:val="24"/>
          <w:szCs w:val="24"/>
        </w:rPr>
        <w:t>ľ</w:t>
      </w:r>
      <w:r w:rsidR="008903FE">
        <w:rPr>
          <w:rFonts w:ascii="Times-Roman" w:hAnsi="Times-Roman" w:cs="Times-Roman"/>
          <w:sz w:val="24"/>
          <w:szCs w:val="24"/>
        </w:rPr>
        <w:t xml:space="preserve">ov Medzinárodného výboru </w:t>
      </w:r>
      <w:r w:rsidR="008903FE">
        <w:rPr>
          <w:rFonts w:ascii="TTFFAC5660t00" w:hAnsi="TTFFAC5660t00" w:cs="TTFFAC5660t00"/>
          <w:sz w:val="24"/>
          <w:szCs w:val="24"/>
        </w:rPr>
        <w:t>Č</w:t>
      </w:r>
      <w:r w:rsidR="008903FE">
        <w:rPr>
          <w:rFonts w:ascii="Times-Roman" w:hAnsi="Times-Roman" w:cs="Times-Roman"/>
          <w:sz w:val="24"/>
          <w:szCs w:val="24"/>
        </w:rPr>
        <w:t xml:space="preserve">erveného kríža (najmä Jeana </w:t>
      </w:r>
      <w:proofErr w:type="spellStart"/>
      <w:r w:rsidR="008903FE">
        <w:rPr>
          <w:rFonts w:ascii="Times-Roman" w:hAnsi="Times-Roman" w:cs="Times-Roman"/>
          <w:sz w:val="24"/>
          <w:szCs w:val="24"/>
        </w:rPr>
        <w:t>Picteta</w:t>
      </w:r>
      <w:proofErr w:type="spellEnd"/>
      <w:r w:rsidR="008903FE">
        <w:rPr>
          <w:rFonts w:ascii="Times-Roman" w:hAnsi="Times-Roman" w:cs="Times-Roman"/>
          <w:sz w:val="24"/>
          <w:szCs w:val="24"/>
        </w:rPr>
        <w:t>). Pod</w:t>
      </w:r>
      <w:r w:rsidR="008903FE">
        <w:rPr>
          <w:rFonts w:ascii="TTFFAC5660t00" w:hAnsi="TTFFAC5660t00" w:cs="TTFFAC5660t00"/>
          <w:sz w:val="24"/>
          <w:szCs w:val="24"/>
        </w:rPr>
        <w:t>ľ</w:t>
      </w:r>
      <w:r w:rsidR="008903FE">
        <w:rPr>
          <w:rFonts w:ascii="Times-Roman" w:hAnsi="Times-Roman" w:cs="Times-Roman"/>
          <w:sz w:val="24"/>
          <w:szCs w:val="24"/>
        </w:rPr>
        <w:t>a prvotnej koncepcie mal tento názov ozna</w:t>
      </w:r>
      <w:r w:rsidR="008903FE">
        <w:rPr>
          <w:rFonts w:ascii="TTFFAC5660t00" w:hAnsi="TTFFAC5660t00" w:cs="TTFFAC5660t00"/>
          <w:sz w:val="24"/>
          <w:szCs w:val="24"/>
        </w:rPr>
        <w:t>č</w:t>
      </w:r>
      <w:r w:rsidR="008903FE">
        <w:rPr>
          <w:rFonts w:ascii="Times-Roman" w:hAnsi="Times-Roman" w:cs="Times-Roman"/>
          <w:sz w:val="24"/>
          <w:szCs w:val="24"/>
        </w:rPr>
        <w:t>ova</w:t>
      </w:r>
      <w:r w:rsidR="008903FE">
        <w:rPr>
          <w:rFonts w:ascii="TTFFAC5660t00" w:hAnsi="TTFFAC5660t00" w:cs="TTFFAC5660t00"/>
          <w:sz w:val="24"/>
          <w:szCs w:val="24"/>
        </w:rPr>
        <w:t xml:space="preserve">ť </w:t>
      </w:r>
      <w:r w:rsidR="008903FE">
        <w:rPr>
          <w:rFonts w:ascii="Times-Roman" w:hAnsi="Times-Roman" w:cs="Times-Roman"/>
          <w:sz w:val="24"/>
          <w:szCs w:val="24"/>
        </w:rPr>
        <w:t>súbor pravidiel vojnového práva, ur</w:t>
      </w:r>
      <w:r w:rsidR="008903FE">
        <w:rPr>
          <w:rFonts w:ascii="TTFFAC5660t00" w:hAnsi="TTFFAC5660t00" w:cs="TTFFAC5660t00"/>
          <w:sz w:val="24"/>
          <w:szCs w:val="24"/>
        </w:rPr>
        <w:t>č</w:t>
      </w:r>
      <w:r w:rsidR="008903FE">
        <w:rPr>
          <w:rFonts w:ascii="Times-Roman" w:hAnsi="Times-Roman" w:cs="Times-Roman"/>
          <w:sz w:val="24"/>
          <w:szCs w:val="24"/>
        </w:rPr>
        <w:t xml:space="preserve">ených na ochranu </w:t>
      </w:r>
      <w:r w:rsidR="008903FE">
        <w:rPr>
          <w:rFonts w:ascii="TTFFAC5660t00" w:hAnsi="TTFFAC5660t00" w:cs="TTFFAC5660t00"/>
          <w:sz w:val="24"/>
          <w:szCs w:val="24"/>
        </w:rPr>
        <w:t>ľ</w:t>
      </w:r>
      <w:r w:rsidR="008903FE">
        <w:rPr>
          <w:rFonts w:ascii="Times-Roman" w:hAnsi="Times-Roman" w:cs="Times-Roman"/>
          <w:sz w:val="24"/>
          <w:szCs w:val="24"/>
        </w:rPr>
        <w:t>udí po</w:t>
      </w:r>
      <w:r w:rsidR="008903FE">
        <w:rPr>
          <w:rFonts w:ascii="TTFFAC5660t00" w:hAnsi="TTFFAC5660t00" w:cs="TTFFAC5660t00"/>
          <w:sz w:val="24"/>
          <w:szCs w:val="24"/>
        </w:rPr>
        <w:t>č</w:t>
      </w:r>
      <w:r w:rsidR="008903FE">
        <w:rPr>
          <w:rFonts w:ascii="Times-Roman" w:hAnsi="Times-Roman" w:cs="Times-Roman"/>
          <w:sz w:val="24"/>
          <w:szCs w:val="24"/>
        </w:rPr>
        <w:t>as vojnových konfliktov (tzv. ženevské právo). Ide o najužšie vymedzenie pojmu MHP, ktoré je v sú</w:t>
      </w:r>
      <w:r w:rsidR="008903FE">
        <w:rPr>
          <w:rFonts w:ascii="TTFFAC5660t00" w:hAnsi="TTFFAC5660t00" w:cs="TTFFAC5660t00"/>
          <w:sz w:val="24"/>
          <w:szCs w:val="24"/>
        </w:rPr>
        <w:t>č</w:t>
      </w:r>
      <w:r w:rsidR="008903FE">
        <w:rPr>
          <w:rFonts w:ascii="Times-Roman" w:hAnsi="Times-Roman" w:cs="Times-Roman"/>
          <w:sz w:val="24"/>
          <w:szCs w:val="24"/>
        </w:rPr>
        <w:t>asnosti takmer prekonané v prospech širších definícií. Stretnúť</w:t>
      </w:r>
      <w:r w:rsidR="008903FE">
        <w:rPr>
          <w:rFonts w:ascii="TTFFAC5660t00" w:hAnsi="TTFFAC5660t00" w:cs="TTFFAC5660t00"/>
          <w:sz w:val="24"/>
          <w:szCs w:val="24"/>
        </w:rPr>
        <w:t xml:space="preserve"> </w:t>
      </w:r>
      <w:r w:rsidR="008903FE">
        <w:rPr>
          <w:rFonts w:ascii="Times-Roman" w:hAnsi="Times-Roman" w:cs="Times-Roman"/>
          <w:sz w:val="24"/>
          <w:szCs w:val="24"/>
        </w:rPr>
        <w:t>sa môžeme tiež s najširšou definíciou, podľa ktorej MHP predstavuje súbor medzinárodnoprávnych opatrení, písaných aj oby</w:t>
      </w:r>
      <w:r w:rsidR="008903FE">
        <w:rPr>
          <w:rFonts w:ascii="TTFFAC5660t00" w:hAnsi="TTFFAC5660t00" w:cs="TTFFAC5660t00"/>
          <w:sz w:val="24"/>
          <w:szCs w:val="24"/>
        </w:rPr>
        <w:t>č</w:t>
      </w:r>
      <w:r w:rsidR="008903FE">
        <w:rPr>
          <w:rFonts w:ascii="Times-Roman" w:hAnsi="Times-Roman" w:cs="Times-Roman"/>
          <w:sz w:val="24"/>
          <w:szCs w:val="24"/>
        </w:rPr>
        <w:t>ajových, ktoré zais</w:t>
      </w:r>
      <w:r w:rsidR="008903FE">
        <w:rPr>
          <w:rFonts w:ascii="TTFFAC5660t00" w:hAnsi="TTFFAC5660t00" w:cs="TTFFAC5660t00"/>
          <w:sz w:val="24"/>
          <w:szCs w:val="24"/>
        </w:rPr>
        <w:t>ť</w:t>
      </w:r>
      <w:r w:rsidR="008903FE">
        <w:rPr>
          <w:rFonts w:ascii="Times-Roman" w:hAnsi="Times-Roman" w:cs="Times-Roman"/>
          <w:sz w:val="24"/>
          <w:szCs w:val="24"/>
        </w:rPr>
        <w:t>ujú rešpektovanie a plný rozvoj jednotlivca.</w:t>
      </w:r>
      <w:r w:rsidR="008903FE">
        <w:rPr>
          <w:rFonts w:ascii="Times-Roman" w:hAnsi="Times-Roman" w:cs="Times-Roman"/>
          <w:sz w:val="16"/>
          <w:szCs w:val="16"/>
        </w:rPr>
        <w:t xml:space="preserve"> </w:t>
      </w:r>
      <w:r w:rsidR="008903FE">
        <w:rPr>
          <w:rFonts w:ascii="Times-Roman" w:hAnsi="Times-Roman" w:cs="Times-Roman"/>
          <w:sz w:val="24"/>
          <w:szCs w:val="24"/>
        </w:rPr>
        <w:t>Pod</w:t>
      </w:r>
      <w:r w:rsidR="008903FE">
        <w:rPr>
          <w:rFonts w:ascii="TTFFAC5660t00" w:hAnsi="TTFFAC5660t00" w:cs="TTFFAC5660t00"/>
          <w:sz w:val="24"/>
          <w:szCs w:val="24"/>
        </w:rPr>
        <w:t>ľ</w:t>
      </w:r>
      <w:r w:rsidR="008903FE">
        <w:rPr>
          <w:rFonts w:ascii="Times-Roman" w:hAnsi="Times-Roman" w:cs="Times-Roman"/>
          <w:sz w:val="24"/>
          <w:szCs w:val="24"/>
        </w:rPr>
        <w:t>a tohto názoru by potom pojem MHP zah</w:t>
      </w:r>
      <w:r w:rsidR="008903FE">
        <w:rPr>
          <w:rFonts w:ascii="TTFFAC5660t00" w:hAnsi="TTFFAC5660t00" w:cs="TTFFAC5660t00"/>
          <w:sz w:val="24"/>
          <w:szCs w:val="24"/>
        </w:rPr>
        <w:t>ŕň</w:t>
      </w:r>
      <w:r w:rsidR="008903FE">
        <w:rPr>
          <w:rFonts w:ascii="Times-Roman" w:hAnsi="Times-Roman" w:cs="Times-Roman"/>
          <w:sz w:val="24"/>
          <w:szCs w:val="24"/>
        </w:rPr>
        <w:t xml:space="preserve">al nielen haagske a ženevské právo, ale aj právo </w:t>
      </w:r>
      <w:r w:rsidR="008903FE">
        <w:rPr>
          <w:rFonts w:ascii="TTFFAC5660t00" w:hAnsi="TTFFAC5660t00" w:cs="TTFFAC5660t00"/>
          <w:sz w:val="24"/>
          <w:szCs w:val="24"/>
        </w:rPr>
        <w:t>ľ</w:t>
      </w:r>
      <w:r w:rsidR="008903FE">
        <w:rPr>
          <w:rFonts w:ascii="Times-Roman" w:hAnsi="Times-Roman" w:cs="Times-Roman"/>
          <w:sz w:val="24"/>
          <w:szCs w:val="24"/>
        </w:rPr>
        <w:t>udských práv. Za najvýstižnejšie a najakceptovanejšie sa v sú</w:t>
      </w:r>
      <w:r w:rsidR="008903FE">
        <w:rPr>
          <w:rFonts w:ascii="TTFFAC5660t00" w:hAnsi="TTFFAC5660t00" w:cs="TTFFAC5660t00"/>
          <w:sz w:val="24"/>
          <w:szCs w:val="24"/>
        </w:rPr>
        <w:t>č</w:t>
      </w:r>
      <w:r w:rsidR="008903FE">
        <w:rPr>
          <w:rFonts w:ascii="Times-Roman" w:hAnsi="Times-Roman" w:cs="Times-Roman"/>
          <w:sz w:val="24"/>
          <w:szCs w:val="24"/>
        </w:rPr>
        <w:t xml:space="preserve">asnosti považuje stredne široké vymedzenie tohto pojmu. Ide o jeho definíciu podanú Medzinárodným výborom </w:t>
      </w:r>
      <w:r w:rsidR="008903FE">
        <w:rPr>
          <w:rFonts w:ascii="TTFFAC5660t00" w:hAnsi="TTFFAC5660t00" w:cs="TTFFAC5660t00"/>
          <w:sz w:val="24"/>
          <w:szCs w:val="24"/>
        </w:rPr>
        <w:t>Č</w:t>
      </w:r>
      <w:r w:rsidR="008903FE">
        <w:rPr>
          <w:rFonts w:ascii="Times-Roman" w:hAnsi="Times-Roman" w:cs="Times-Roman"/>
          <w:sz w:val="24"/>
          <w:szCs w:val="24"/>
        </w:rPr>
        <w:t>erveného kríža, ktorá hovorí, že MHP sa rozumie súbor medzinárodných pravidiel zmluvného aj oby</w:t>
      </w:r>
      <w:r w:rsidR="008903FE">
        <w:rPr>
          <w:rFonts w:ascii="TTFFAC5660t00" w:hAnsi="TTFFAC5660t00" w:cs="TTFFAC5660t00"/>
          <w:sz w:val="24"/>
          <w:szCs w:val="24"/>
        </w:rPr>
        <w:t>č</w:t>
      </w:r>
      <w:r w:rsidR="008903FE">
        <w:rPr>
          <w:rFonts w:ascii="Times-Roman" w:hAnsi="Times-Roman" w:cs="Times-Roman"/>
          <w:sz w:val="24"/>
          <w:szCs w:val="24"/>
        </w:rPr>
        <w:t>ajového pôvodu, ktorých špecifickou úlohou je rieši</w:t>
      </w:r>
      <w:r w:rsidR="008903FE">
        <w:rPr>
          <w:rFonts w:ascii="TTFFAC5660t00" w:hAnsi="TTFFAC5660t00" w:cs="TTFFAC5660t00"/>
          <w:sz w:val="24"/>
          <w:szCs w:val="24"/>
        </w:rPr>
        <w:t xml:space="preserve">ť </w:t>
      </w:r>
      <w:r w:rsidR="008903FE">
        <w:rPr>
          <w:rFonts w:ascii="Times-Roman" w:hAnsi="Times-Roman" w:cs="Times-Roman"/>
          <w:sz w:val="24"/>
          <w:szCs w:val="24"/>
        </w:rPr>
        <w:t xml:space="preserve">humanitárne problémy priamo vyplývajúce z ozbrojených konfliktov, </w:t>
      </w:r>
      <w:r w:rsidR="008903FE">
        <w:rPr>
          <w:rFonts w:ascii="TTFFAC5660t00" w:hAnsi="TTFFAC5660t00" w:cs="TTFFAC5660t00"/>
          <w:sz w:val="24"/>
          <w:szCs w:val="24"/>
        </w:rPr>
        <w:t>c</w:t>
      </w:r>
      <w:r w:rsidR="008903FE">
        <w:rPr>
          <w:rFonts w:ascii="Times-Roman" w:hAnsi="Times-Roman" w:cs="Times-Roman"/>
          <w:sz w:val="24"/>
          <w:szCs w:val="24"/>
        </w:rPr>
        <w:t>i už medzinárodných alebo vnútroštátnych, obmedzovať</w:t>
      </w:r>
      <w:r w:rsidR="008903FE">
        <w:rPr>
          <w:rFonts w:ascii="TTFFAC5660t00" w:hAnsi="TTFFAC5660t00" w:cs="TTFFAC5660t00"/>
          <w:sz w:val="24"/>
          <w:szCs w:val="24"/>
        </w:rPr>
        <w:t xml:space="preserve"> </w:t>
      </w:r>
      <w:r w:rsidR="008903FE">
        <w:rPr>
          <w:rFonts w:ascii="Times-Roman" w:hAnsi="Times-Roman" w:cs="Times-Roman"/>
          <w:sz w:val="24"/>
          <w:szCs w:val="24"/>
        </w:rPr>
        <w:t>z humanitárnych dôvodov právo strán v konflikte na prostriedky a spôsoby vedenia vojny a chrániť</w:t>
      </w:r>
      <w:r w:rsidR="008903FE">
        <w:rPr>
          <w:rFonts w:ascii="TTFFAC5660t00" w:hAnsi="TTFFAC5660t00" w:cs="TTFFAC5660t00"/>
          <w:sz w:val="24"/>
          <w:szCs w:val="24"/>
        </w:rPr>
        <w:t xml:space="preserve"> </w:t>
      </w:r>
      <w:r w:rsidR="008903FE">
        <w:rPr>
          <w:rFonts w:ascii="Times-Roman" w:hAnsi="Times-Roman" w:cs="Times-Roman"/>
          <w:sz w:val="24"/>
          <w:szCs w:val="24"/>
        </w:rPr>
        <w:t>osoby a objekty, ktoré sú alebo by mohli by</w:t>
      </w:r>
      <w:r w:rsidR="008903FE">
        <w:rPr>
          <w:rFonts w:ascii="TTFFAC5660t00" w:hAnsi="TTFFAC5660t00" w:cs="TTFFAC5660t00"/>
          <w:sz w:val="24"/>
          <w:szCs w:val="24"/>
        </w:rPr>
        <w:t xml:space="preserve">t </w:t>
      </w:r>
      <w:r w:rsidR="008903FE">
        <w:rPr>
          <w:rFonts w:ascii="Times-Roman" w:hAnsi="Times-Roman" w:cs="Times-Roman"/>
          <w:sz w:val="24"/>
          <w:szCs w:val="24"/>
        </w:rPr>
        <w:t>konfliktom zasiahnuté.</w:t>
      </w:r>
    </w:p>
    <w:p w14:paraId="2E3120A5" w14:textId="01A73B38" w:rsidR="008903FE" w:rsidRPr="008903FE" w:rsidRDefault="00773EBA" w:rsidP="00754D83">
      <w:pPr>
        <w:autoSpaceDE w:val="0"/>
        <w:autoSpaceDN w:val="0"/>
        <w:adjustRightInd w:val="0"/>
        <w:spacing w:after="0" w:line="360" w:lineRule="auto"/>
        <w:ind w:firstLine="708"/>
        <w:jc w:val="both"/>
        <w:rPr>
          <w:rFonts w:ascii="Times-Roman" w:hAnsi="Times-Roman" w:cs="Times-Roman"/>
          <w:sz w:val="24"/>
          <w:szCs w:val="24"/>
        </w:rPr>
      </w:pPr>
      <w:r>
        <w:rPr>
          <w:rFonts w:ascii="TTFFAC5660t00" w:hAnsi="TTFFAC5660t00" w:cs="TTFFAC5660t00"/>
          <w:sz w:val="24"/>
          <w:szCs w:val="24"/>
        </w:rPr>
        <w:t>Č</w:t>
      </w:r>
      <w:r w:rsidR="008903FE">
        <w:rPr>
          <w:rFonts w:ascii="Times-Roman" w:hAnsi="Times-Roman" w:cs="Times-Roman"/>
          <w:sz w:val="24"/>
          <w:szCs w:val="24"/>
        </w:rPr>
        <w:t xml:space="preserve">o sa týka slovenských a </w:t>
      </w:r>
      <w:r>
        <w:rPr>
          <w:rFonts w:ascii="TTFFAC5660t00" w:hAnsi="TTFFAC5660t00" w:cs="TTFFAC5660t00"/>
          <w:sz w:val="24"/>
          <w:szCs w:val="24"/>
        </w:rPr>
        <w:t>č</w:t>
      </w:r>
      <w:r w:rsidR="008903FE">
        <w:rPr>
          <w:rFonts w:ascii="Times-Roman" w:hAnsi="Times-Roman" w:cs="Times-Roman"/>
          <w:sz w:val="24"/>
          <w:szCs w:val="24"/>
        </w:rPr>
        <w:t>eských autorov zaoberajúcich sa týmto odvetvím medzinárodného práva verejného, treba poveda</w:t>
      </w:r>
      <w:r>
        <w:rPr>
          <w:rFonts w:ascii="TTFFAC5660t00" w:hAnsi="TTFFAC5660t00" w:cs="TTFFAC5660t00"/>
          <w:sz w:val="24"/>
          <w:szCs w:val="24"/>
        </w:rPr>
        <w:t>ť</w:t>
      </w:r>
      <w:r w:rsidR="008903FE">
        <w:rPr>
          <w:rFonts w:ascii="Times-Roman" w:hAnsi="Times-Roman" w:cs="Times-Roman"/>
          <w:sz w:val="24"/>
          <w:szCs w:val="24"/>
        </w:rPr>
        <w:t>, že vä</w:t>
      </w:r>
      <w:r>
        <w:rPr>
          <w:rFonts w:ascii="TTFFAC5660t00" w:hAnsi="TTFFAC5660t00" w:cs="TTFFAC5660t00"/>
          <w:sz w:val="24"/>
          <w:szCs w:val="24"/>
        </w:rPr>
        <w:t>č</w:t>
      </w:r>
      <w:r w:rsidR="008903FE">
        <w:rPr>
          <w:rFonts w:ascii="Times-Roman" w:hAnsi="Times-Roman" w:cs="Times-Roman"/>
          <w:sz w:val="24"/>
          <w:szCs w:val="24"/>
        </w:rPr>
        <w:t>šina z nich sa pri charakteristike MHP priamo nevyjadruje k jeho systematike a zara</w:t>
      </w:r>
      <w:r w:rsidR="008903FE">
        <w:rPr>
          <w:rFonts w:ascii="TTFFAC5660t00" w:hAnsi="TTFFAC5660t00" w:cs="TTFFAC5660t00"/>
          <w:sz w:val="24"/>
          <w:szCs w:val="24"/>
        </w:rPr>
        <w:t>d</w:t>
      </w:r>
      <w:r w:rsidR="008903FE">
        <w:rPr>
          <w:rFonts w:ascii="Times-Roman" w:hAnsi="Times-Roman" w:cs="Times-Roman"/>
          <w:sz w:val="24"/>
          <w:szCs w:val="24"/>
        </w:rPr>
        <w:t>ujú ho pod právo ozbrojených konfliktov. Ako príklad možno uvies</w:t>
      </w:r>
      <w:r>
        <w:rPr>
          <w:rFonts w:ascii="Times-Roman" w:hAnsi="Times-Roman" w:cs="Times-Roman"/>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 xml:space="preserve">názor </w:t>
      </w:r>
      <w:proofErr w:type="spellStart"/>
      <w:r w:rsidR="008903FE">
        <w:rPr>
          <w:rFonts w:ascii="Times-Roman" w:hAnsi="Times-Roman" w:cs="Times-Roman"/>
          <w:sz w:val="24"/>
          <w:szCs w:val="24"/>
        </w:rPr>
        <w:t>Jankuva</w:t>
      </w:r>
      <w:proofErr w:type="spellEnd"/>
      <w:r w:rsidR="008903FE">
        <w:rPr>
          <w:rFonts w:ascii="Times-Roman" w:hAnsi="Times-Roman" w:cs="Times-Roman"/>
          <w:sz w:val="24"/>
          <w:szCs w:val="24"/>
        </w:rPr>
        <w:t>, ktorý chápe MHP ako osobitnú sú</w:t>
      </w:r>
      <w:r>
        <w:rPr>
          <w:rFonts w:ascii="TTFFAC5660t00" w:hAnsi="TTFFAC5660t00" w:cs="TTFFAC5660t00"/>
          <w:sz w:val="24"/>
          <w:szCs w:val="24"/>
        </w:rPr>
        <w:t>č</w:t>
      </w:r>
      <w:r w:rsidR="008903FE">
        <w:rPr>
          <w:rFonts w:ascii="Times-Roman" w:hAnsi="Times-Roman" w:cs="Times-Roman"/>
          <w:sz w:val="24"/>
          <w:szCs w:val="24"/>
        </w:rPr>
        <w:t>as</w:t>
      </w:r>
      <w:r>
        <w:rPr>
          <w:rFonts w:ascii="TTFFAC5660t00" w:hAnsi="TTFFAC5660t00" w:cs="TTFFAC5660t00"/>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práva ozbrojených konfliktov, ktorá na rozdiel od ostatných noriem vojnového práva zaru</w:t>
      </w:r>
      <w:r>
        <w:rPr>
          <w:rFonts w:ascii="TTFFAC5660t00" w:hAnsi="TTFFAC5660t00" w:cs="TTFFAC5660t00"/>
          <w:sz w:val="24"/>
          <w:szCs w:val="24"/>
        </w:rPr>
        <w:t>č</w:t>
      </w:r>
      <w:r w:rsidR="008903FE">
        <w:rPr>
          <w:rFonts w:ascii="Times-Roman" w:hAnsi="Times-Roman" w:cs="Times-Roman"/>
          <w:sz w:val="24"/>
          <w:szCs w:val="24"/>
        </w:rPr>
        <w:t xml:space="preserve">uje právo na život a </w:t>
      </w:r>
      <w:r>
        <w:rPr>
          <w:rFonts w:ascii="TTFFAC5660t00" w:hAnsi="TTFFAC5660t00" w:cs="TTFFAC5660t00"/>
          <w:sz w:val="24"/>
          <w:szCs w:val="24"/>
        </w:rPr>
        <w:t>ľ</w:t>
      </w:r>
      <w:r w:rsidR="008903FE">
        <w:rPr>
          <w:rFonts w:ascii="Times-Roman" w:hAnsi="Times-Roman" w:cs="Times-Roman"/>
          <w:sz w:val="24"/>
          <w:szCs w:val="24"/>
        </w:rPr>
        <w:t>udskú dôstojnos</w:t>
      </w:r>
      <w:r>
        <w:rPr>
          <w:rFonts w:ascii="TTFFAC5660t00" w:hAnsi="TTFFAC5660t00" w:cs="TTFFAC5660t00"/>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ur</w:t>
      </w:r>
      <w:r>
        <w:rPr>
          <w:rFonts w:ascii="TTFFAC5660t00" w:hAnsi="TTFFAC5660t00" w:cs="TTFFAC5660t00"/>
          <w:sz w:val="24"/>
          <w:szCs w:val="24"/>
        </w:rPr>
        <w:t>č</w:t>
      </w:r>
      <w:r w:rsidR="008903FE">
        <w:rPr>
          <w:rFonts w:ascii="Times-Roman" w:hAnsi="Times-Roman" w:cs="Times-Roman"/>
          <w:sz w:val="24"/>
          <w:szCs w:val="24"/>
        </w:rPr>
        <w:t>itým skupinám osôb, ktoré sa súhrnne nazývajú obe</w:t>
      </w:r>
      <w:r w:rsidR="008903FE">
        <w:rPr>
          <w:rFonts w:ascii="TTFFAC5660t00" w:hAnsi="TTFFAC5660t00" w:cs="TTFFAC5660t00"/>
          <w:sz w:val="24"/>
          <w:szCs w:val="24"/>
        </w:rPr>
        <w:t>t</w:t>
      </w:r>
      <w:r w:rsidR="008903FE">
        <w:rPr>
          <w:rFonts w:ascii="Times-Roman" w:hAnsi="Times-Roman" w:cs="Times-Roman"/>
          <w:sz w:val="24"/>
          <w:szCs w:val="24"/>
        </w:rPr>
        <w:t>ami vojny.</w:t>
      </w:r>
      <w:r w:rsidR="008903FE">
        <w:rPr>
          <w:rFonts w:ascii="Times-Roman" w:hAnsi="Times-Roman" w:cs="Times-Roman"/>
          <w:sz w:val="16"/>
          <w:szCs w:val="16"/>
        </w:rPr>
        <w:t xml:space="preserve"> </w:t>
      </w:r>
      <w:proofErr w:type="spellStart"/>
      <w:r w:rsidR="008903FE">
        <w:rPr>
          <w:rFonts w:ascii="Times-Roman" w:hAnsi="Times-Roman" w:cs="Times-Roman"/>
          <w:sz w:val="24"/>
          <w:szCs w:val="24"/>
        </w:rPr>
        <w:t>Klu</w:t>
      </w:r>
      <w:r w:rsidR="008903FE">
        <w:rPr>
          <w:rFonts w:ascii="TTFFAC5660t00" w:hAnsi="TTFFAC5660t00" w:cs="TTFFAC5660t00"/>
          <w:sz w:val="24"/>
          <w:szCs w:val="24"/>
        </w:rPr>
        <w:t>c</w:t>
      </w:r>
      <w:r w:rsidR="008903FE">
        <w:rPr>
          <w:rFonts w:ascii="Times-Roman" w:hAnsi="Times-Roman" w:cs="Times-Roman"/>
          <w:sz w:val="24"/>
          <w:szCs w:val="24"/>
        </w:rPr>
        <w:t>ka</w:t>
      </w:r>
      <w:proofErr w:type="spellEnd"/>
      <w:r w:rsidR="008903FE">
        <w:rPr>
          <w:rFonts w:ascii="Times-Roman" w:hAnsi="Times-Roman" w:cs="Times-Roman"/>
          <w:sz w:val="24"/>
          <w:szCs w:val="24"/>
        </w:rPr>
        <w:t xml:space="preserve"> sa napr. obmedzil len na definíciu práva ozbrojených konfliktov, ktoré pod</w:t>
      </w:r>
      <w:r>
        <w:rPr>
          <w:rFonts w:ascii="TTFFAC5660t00" w:hAnsi="TTFFAC5660t00" w:cs="TTFFAC5660t00"/>
          <w:sz w:val="24"/>
          <w:szCs w:val="24"/>
        </w:rPr>
        <w:t>ľ</w:t>
      </w:r>
      <w:r w:rsidR="008903FE">
        <w:rPr>
          <w:rFonts w:ascii="Times-Roman" w:hAnsi="Times-Roman" w:cs="Times-Roman"/>
          <w:sz w:val="24"/>
          <w:szCs w:val="24"/>
        </w:rPr>
        <w:t>a neho tvoria dve skupiny pravidiel – Haagske a Ženevské dohovory, pri</w:t>
      </w:r>
      <w:r>
        <w:rPr>
          <w:rFonts w:ascii="TTFFAC5660t00" w:hAnsi="TTFFAC5660t00" w:cs="TTFFAC5660t00"/>
          <w:sz w:val="24"/>
          <w:szCs w:val="24"/>
        </w:rPr>
        <w:t>č</w:t>
      </w:r>
      <w:r w:rsidR="008903FE">
        <w:rPr>
          <w:rFonts w:ascii="Times-Roman" w:hAnsi="Times-Roman" w:cs="Times-Roman"/>
          <w:sz w:val="24"/>
          <w:szCs w:val="24"/>
        </w:rPr>
        <w:t xml:space="preserve">om vymedzenie pojmu MHP </w:t>
      </w:r>
      <w:proofErr w:type="spellStart"/>
      <w:r w:rsidR="008903FE">
        <w:rPr>
          <w:rFonts w:ascii="Times-Roman" w:hAnsi="Times-Roman" w:cs="Times-Roman"/>
          <w:sz w:val="24"/>
          <w:szCs w:val="24"/>
        </w:rPr>
        <w:t>nepodáva.Tu</w:t>
      </w:r>
      <w:proofErr w:type="spellEnd"/>
      <w:r w:rsidR="008903FE">
        <w:rPr>
          <w:rFonts w:ascii="Times-Roman" w:hAnsi="Times-Roman" w:cs="Times-Roman"/>
          <w:sz w:val="24"/>
          <w:szCs w:val="24"/>
        </w:rPr>
        <w:t xml:space="preserve"> ako problém vyvstáva otázka </w:t>
      </w:r>
      <w:r w:rsidR="008903FE">
        <w:rPr>
          <w:rFonts w:ascii="TTFFAC5660t00" w:hAnsi="TTFFAC5660t00" w:cs="TTFFAC5660t00"/>
          <w:sz w:val="24"/>
          <w:szCs w:val="24"/>
        </w:rPr>
        <w:t>c</w:t>
      </w:r>
      <w:r w:rsidR="008903FE">
        <w:rPr>
          <w:rFonts w:ascii="Times-Roman" w:hAnsi="Times-Roman" w:cs="Times-Roman"/>
          <w:sz w:val="24"/>
          <w:szCs w:val="24"/>
        </w:rPr>
        <w:t xml:space="preserve">i je MHP len modernejším synonymom pre právo ozbrojených konfliktov alebo </w:t>
      </w:r>
      <w:r w:rsidR="008903FE">
        <w:rPr>
          <w:rFonts w:ascii="TTFFAC5660t00" w:hAnsi="TTFFAC5660t00" w:cs="TTFFAC5660t00"/>
          <w:sz w:val="24"/>
          <w:szCs w:val="24"/>
        </w:rPr>
        <w:t>c</w:t>
      </w:r>
      <w:r w:rsidR="008903FE">
        <w:rPr>
          <w:rFonts w:ascii="Times-Roman" w:hAnsi="Times-Roman" w:cs="Times-Roman"/>
          <w:sz w:val="24"/>
          <w:szCs w:val="24"/>
        </w:rPr>
        <w:t>i je právo ozbrojených konfliktov širším pojmom, ktorý zah</w:t>
      </w:r>
      <w:r>
        <w:rPr>
          <w:rFonts w:ascii="TTFFAC5660t00" w:hAnsi="TTFFAC5660t00" w:cs="TTFFAC5660t00"/>
          <w:sz w:val="24"/>
          <w:szCs w:val="24"/>
        </w:rPr>
        <w:t>ŕň</w:t>
      </w:r>
      <w:r w:rsidR="008903FE">
        <w:rPr>
          <w:rFonts w:ascii="Times-Roman" w:hAnsi="Times-Roman" w:cs="Times-Roman"/>
          <w:sz w:val="24"/>
          <w:szCs w:val="24"/>
        </w:rPr>
        <w:t>a okrem tradi</w:t>
      </w:r>
      <w:r>
        <w:rPr>
          <w:rFonts w:ascii="TTFFAC5660t00" w:hAnsi="TTFFAC5660t00" w:cs="TTFFAC5660t00"/>
          <w:sz w:val="24"/>
          <w:szCs w:val="24"/>
        </w:rPr>
        <w:t>č</w:t>
      </w:r>
      <w:r w:rsidR="008903FE">
        <w:rPr>
          <w:rFonts w:ascii="Times-Roman" w:hAnsi="Times-Roman" w:cs="Times-Roman"/>
          <w:sz w:val="24"/>
          <w:szCs w:val="24"/>
        </w:rPr>
        <w:t>ného vojnového práva aj MHP. Po preštudovaní viacerých zdrojov sa v tejto otázke priklá</w:t>
      </w:r>
      <w:r>
        <w:rPr>
          <w:rFonts w:ascii="TTFFAC5660t00" w:hAnsi="TTFFAC5660t00" w:cs="TTFFAC5660t00"/>
          <w:sz w:val="24"/>
          <w:szCs w:val="24"/>
        </w:rPr>
        <w:t>ň</w:t>
      </w:r>
      <w:r w:rsidR="008903FE">
        <w:rPr>
          <w:rFonts w:ascii="Times-Roman" w:hAnsi="Times-Roman" w:cs="Times-Roman"/>
          <w:sz w:val="24"/>
          <w:szCs w:val="24"/>
        </w:rPr>
        <w:t xml:space="preserve">ame k názoru </w:t>
      </w:r>
      <w:r>
        <w:rPr>
          <w:rFonts w:ascii="TTFFAC5660t00" w:hAnsi="TTFFAC5660t00" w:cs="TTFFAC5660t00"/>
          <w:sz w:val="24"/>
          <w:szCs w:val="24"/>
        </w:rPr>
        <w:t>č</w:t>
      </w:r>
      <w:r w:rsidR="008903FE">
        <w:rPr>
          <w:rFonts w:ascii="Times-Roman" w:hAnsi="Times-Roman" w:cs="Times-Roman"/>
          <w:sz w:val="24"/>
          <w:szCs w:val="24"/>
        </w:rPr>
        <w:t>eského autora prof. Šturmu, pod</w:t>
      </w:r>
      <w:r>
        <w:rPr>
          <w:rFonts w:ascii="TTFFAC5660t00" w:hAnsi="TTFFAC5660t00" w:cs="TTFFAC5660t00"/>
          <w:sz w:val="24"/>
          <w:szCs w:val="24"/>
        </w:rPr>
        <w:t>ľa</w:t>
      </w:r>
      <w:r w:rsidR="008903FE">
        <w:rPr>
          <w:rFonts w:ascii="Times-Roman" w:hAnsi="Times-Roman" w:cs="Times-Roman"/>
          <w:sz w:val="24"/>
          <w:szCs w:val="24"/>
        </w:rPr>
        <w:t xml:space="preserve"> ktorého je najprijate</w:t>
      </w:r>
      <w:r>
        <w:rPr>
          <w:rFonts w:ascii="TTFFAC5660t00" w:hAnsi="TTFFAC5660t00" w:cs="TTFFAC5660t00"/>
          <w:sz w:val="24"/>
          <w:szCs w:val="24"/>
        </w:rPr>
        <w:t>ľ</w:t>
      </w:r>
      <w:r w:rsidR="008903FE">
        <w:rPr>
          <w:rFonts w:ascii="Times-Roman" w:hAnsi="Times-Roman" w:cs="Times-Roman"/>
          <w:sz w:val="24"/>
          <w:szCs w:val="24"/>
        </w:rPr>
        <w:t xml:space="preserve">nejšia práve </w:t>
      </w:r>
      <w:r w:rsidR="008903FE">
        <w:rPr>
          <w:rFonts w:ascii="Times-Roman" w:hAnsi="Times-Roman" w:cs="Times-Roman"/>
          <w:sz w:val="24"/>
          <w:szCs w:val="24"/>
        </w:rPr>
        <w:lastRenderedPageBreak/>
        <w:t xml:space="preserve">definícia, ktorá chápe MHP ako súhrn pravidiel tak ženevského ako i haagskeho práva. </w:t>
      </w:r>
      <w:proofErr w:type="spellStart"/>
      <w:r w:rsidR="008903FE">
        <w:rPr>
          <w:rFonts w:ascii="Times-Roman" w:hAnsi="Times-Roman" w:cs="Times-Roman"/>
          <w:sz w:val="24"/>
          <w:szCs w:val="24"/>
        </w:rPr>
        <w:t>Šturma</w:t>
      </w:r>
      <w:proofErr w:type="spellEnd"/>
      <w:r w:rsidR="008903FE">
        <w:rPr>
          <w:rFonts w:ascii="Times-Roman" w:hAnsi="Times-Roman" w:cs="Times-Roman"/>
          <w:sz w:val="24"/>
          <w:szCs w:val="24"/>
        </w:rPr>
        <w:t xml:space="preserve"> tiež upozor</w:t>
      </w:r>
      <w:r>
        <w:rPr>
          <w:rFonts w:ascii="TTFFAC5660t00" w:hAnsi="TTFFAC5660t00" w:cs="TTFFAC5660t00"/>
          <w:sz w:val="24"/>
          <w:szCs w:val="24"/>
        </w:rPr>
        <w:t>ň</w:t>
      </w:r>
      <w:r w:rsidR="008903FE">
        <w:rPr>
          <w:rFonts w:ascii="Times-Roman" w:hAnsi="Times-Roman" w:cs="Times-Roman"/>
          <w:sz w:val="24"/>
          <w:szCs w:val="24"/>
        </w:rPr>
        <w:t xml:space="preserve">uje na to, že v práve ozbrojených konfliktov sa nachádzajú i </w:t>
      </w:r>
      <w:r>
        <w:rPr>
          <w:rFonts w:ascii="TTFFAC5660t00" w:hAnsi="TTFFAC5660t00" w:cs="TTFFAC5660t00"/>
          <w:sz w:val="24"/>
          <w:szCs w:val="24"/>
        </w:rPr>
        <w:t>ď</w:t>
      </w:r>
      <w:r w:rsidR="008903FE">
        <w:rPr>
          <w:rFonts w:ascii="Times-Roman" w:hAnsi="Times-Roman" w:cs="Times-Roman"/>
          <w:sz w:val="24"/>
          <w:szCs w:val="24"/>
        </w:rPr>
        <w:t>alšie právne</w:t>
      </w:r>
      <w:r>
        <w:rPr>
          <w:rFonts w:ascii="Times-Roman" w:hAnsi="Times-Roman" w:cs="Times-Roman"/>
          <w:sz w:val="24"/>
          <w:szCs w:val="24"/>
        </w:rPr>
        <w:t xml:space="preserve"> </w:t>
      </w:r>
      <w:r w:rsidR="008903FE">
        <w:rPr>
          <w:rFonts w:ascii="Times-Roman" w:hAnsi="Times-Roman" w:cs="Times-Roman"/>
          <w:sz w:val="24"/>
          <w:szCs w:val="24"/>
        </w:rPr>
        <w:t>inštitúty, ktoré nemajú humanitárny charakter, ale patria k regulácii vojny a majú vä</w:t>
      </w:r>
      <w:r>
        <w:rPr>
          <w:rFonts w:ascii="TTFFAC5660t00" w:hAnsi="TTFFAC5660t00" w:cs="TTFFAC5660t00"/>
          <w:sz w:val="24"/>
          <w:szCs w:val="24"/>
        </w:rPr>
        <w:t>č</w:t>
      </w:r>
      <w:r w:rsidR="008903FE">
        <w:rPr>
          <w:rFonts w:ascii="Times-Roman" w:hAnsi="Times-Roman" w:cs="Times-Roman"/>
          <w:sz w:val="24"/>
          <w:szCs w:val="24"/>
        </w:rPr>
        <w:t>šinou</w:t>
      </w:r>
      <w:r>
        <w:rPr>
          <w:rFonts w:ascii="Times-Roman" w:hAnsi="Times-Roman" w:cs="Times-Roman"/>
          <w:sz w:val="24"/>
          <w:szCs w:val="24"/>
        </w:rPr>
        <w:t xml:space="preserve"> </w:t>
      </w:r>
      <w:r w:rsidR="008903FE">
        <w:rPr>
          <w:rFonts w:ascii="Times-Roman" w:hAnsi="Times-Roman" w:cs="Times-Roman"/>
          <w:sz w:val="24"/>
          <w:szCs w:val="24"/>
        </w:rPr>
        <w:t>oby</w:t>
      </w:r>
      <w:r>
        <w:rPr>
          <w:rFonts w:ascii="Times-Roman" w:hAnsi="Times-Roman" w:cs="Times-Roman"/>
          <w:sz w:val="24"/>
          <w:szCs w:val="24"/>
        </w:rPr>
        <w:t>č</w:t>
      </w:r>
      <w:r w:rsidR="008903FE">
        <w:rPr>
          <w:rFonts w:ascii="Times-Roman" w:hAnsi="Times-Roman" w:cs="Times-Roman"/>
          <w:sz w:val="24"/>
          <w:szCs w:val="24"/>
        </w:rPr>
        <w:t>ajový charakter, pri</w:t>
      </w:r>
      <w:r>
        <w:rPr>
          <w:rFonts w:ascii="TTFFAC5660t00" w:hAnsi="TTFFAC5660t00" w:cs="TTFFAC5660t00"/>
          <w:sz w:val="24"/>
          <w:szCs w:val="24"/>
        </w:rPr>
        <w:t>č</w:t>
      </w:r>
      <w:r w:rsidR="008903FE">
        <w:rPr>
          <w:rFonts w:ascii="Times-Roman" w:hAnsi="Times-Roman" w:cs="Times-Roman"/>
          <w:sz w:val="24"/>
          <w:szCs w:val="24"/>
        </w:rPr>
        <w:t>om sa s</w:t>
      </w:r>
      <w:r>
        <w:rPr>
          <w:rFonts w:ascii="TTFFAC5660t00" w:hAnsi="TTFFAC5660t00" w:cs="TTFFAC5660t00"/>
          <w:sz w:val="24"/>
          <w:szCs w:val="24"/>
        </w:rPr>
        <w:t>č</w:t>
      </w:r>
      <w:r w:rsidR="008903FE">
        <w:rPr>
          <w:rFonts w:ascii="Times-Roman" w:hAnsi="Times-Roman" w:cs="Times-Roman"/>
          <w:sz w:val="24"/>
          <w:szCs w:val="24"/>
        </w:rPr>
        <w:t xml:space="preserve">asti prelínajú s haagskym právom (patria medzi </w:t>
      </w:r>
      <w:proofErr w:type="spellStart"/>
      <w:r w:rsidR="008903FE">
        <w:rPr>
          <w:rFonts w:ascii="Times-Roman" w:hAnsi="Times-Roman" w:cs="Times-Roman"/>
          <w:sz w:val="24"/>
          <w:szCs w:val="24"/>
        </w:rPr>
        <w:t>ne</w:t>
      </w:r>
      <w:proofErr w:type="spellEnd"/>
      <w:r w:rsidR="008903FE">
        <w:rPr>
          <w:rFonts w:ascii="Times-Roman" w:hAnsi="Times-Roman" w:cs="Times-Roman"/>
          <w:sz w:val="24"/>
          <w:szCs w:val="24"/>
        </w:rPr>
        <w:t xml:space="preserve"> napr.</w:t>
      </w:r>
      <w:r>
        <w:rPr>
          <w:rFonts w:ascii="Times-Roman" w:hAnsi="Times-Roman" w:cs="Times-Roman"/>
          <w:sz w:val="24"/>
          <w:szCs w:val="24"/>
        </w:rPr>
        <w:t xml:space="preserve"> </w:t>
      </w:r>
      <w:r w:rsidR="008903FE">
        <w:rPr>
          <w:rFonts w:ascii="Times-Roman" w:hAnsi="Times-Roman" w:cs="Times-Roman"/>
          <w:sz w:val="24"/>
          <w:szCs w:val="24"/>
        </w:rPr>
        <w:t>otázky zahájenia nepriat</w:t>
      </w:r>
      <w:r>
        <w:rPr>
          <w:rFonts w:ascii="Times-Roman" w:hAnsi="Times-Roman" w:cs="Times-Roman"/>
          <w:sz w:val="24"/>
          <w:szCs w:val="24"/>
        </w:rPr>
        <w:t>eľ</w:t>
      </w:r>
      <w:r w:rsidR="008903FE">
        <w:rPr>
          <w:rFonts w:ascii="Times-Roman" w:hAnsi="Times-Roman" w:cs="Times-Roman"/>
          <w:sz w:val="24"/>
          <w:szCs w:val="24"/>
        </w:rPr>
        <w:t>stva, ú</w:t>
      </w:r>
      <w:r>
        <w:rPr>
          <w:rFonts w:ascii="TTFFAC5660t00" w:hAnsi="TTFFAC5660t00" w:cs="TTFFAC5660t00"/>
          <w:sz w:val="24"/>
          <w:szCs w:val="24"/>
        </w:rPr>
        <w:t>č</w:t>
      </w:r>
      <w:r w:rsidR="008903FE">
        <w:rPr>
          <w:rFonts w:ascii="Times-Roman" w:hAnsi="Times-Roman" w:cs="Times-Roman"/>
          <w:sz w:val="24"/>
          <w:szCs w:val="24"/>
        </w:rPr>
        <w:t>inkov vojnového vz</w:t>
      </w:r>
      <w:r>
        <w:rPr>
          <w:rFonts w:ascii="TTFFAC5660t00" w:hAnsi="TTFFAC5660t00" w:cs="TTFFAC5660t00"/>
          <w:sz w:val="24"/>
          <w:szCs w:val="24"/>
        </w:rPr>
        <w:t>ť</w:t>
      </w:r>
      <w:r w:rsidR="008903FE">
        <w:rPr>
          <w:rFonts w:ascii="Times-Roman" w:hAnsi="Times-Roman" w:cs="Times-Roman"/>
          <w:sz w:val="24"/>
          <w:szCs w:val="24"/>
        </w:rPr>
        <w:t>ahu na diplomatické styky a</w:t>
      </w:r>
      <w:r>
        <w:rPr>
          <w:rFonts w:ascii="Times-Roman" w:hAnsi="Times-Roman" w:cs="Times-Roman"/>
          <w:sz w:val="24"/>
          <w:szCs w:val="24"/>
        </w:rPr>
        <w:t> </w:t>
      </w:r>
      <w:r w:rsidR="008903FE">
        <w:rPr>
          <w:rFonts w:ascii="Times-Roman" w:hAnsi="Times-Roman" w:cs="Times-Roman"/>
          <w:sz w:val="24"/>
          <w:szCs w:val="24"/>
        </w:rPr>
        <w:t>na</w:t>
      </w:r>
      <w:r>
        <w:rPr>
          <w:rFonts w:ascii="Times-Roman" w:hAnsi="Times-Roman" w:cs="Times-Roman"/>
          <w:sz w:val="24"/>
          <w:szCs w:val="24"/>
        </w:rPr>
        <w:t xml:space="preserve"> </w:t>
      </w:r>
      <w:r w:rsidR="008903FE">
        <w:rPr>
          <w:rFonts w:ascii="Times-Roman" w:hAnsi="Times-Roman" w:cs="Times-Roman"/>
          <w:sz w:val="24"/>
          <w:szCs w:val="24"/>
        </w:rPr>
        <w:t>medzinárodné zmluvy, na postavenie a majetok nepriate</w:t>
      </w:r>
      <w:r>
        <w:rPr>
          <w:rFonts w:ascii="TTFFAC5660t00" w:hAnsi="TTFFAC5660t00" w:cs="TTFFAC5660t00"/>
          <w:sz w:val="24"/>
          <w:szCs w:val="24"/>
        </w:rPr>
        <w:t>ľ</w:t>
      </w:r>
      <w:r w:rsidR="008903FE">
        <w:rPr>
          <w:rFonts w:ascii="Times-Roman" w:hAnsi="Times-Roman" w:cs="Times-Roman"/>
          <w:sz w:val="24"/>
          <w:szCs w:val="24"/>
        </w:rPr>
        <w:t>ských cudzincov, zastavenia</w:t>
      </w:r>
      <w:r>
        <w:rPr>
          <w:rFonts w:ascii="Times-Roman" w:hAnsi="Times-Roman" w:cs="Times-Roman"/>
          <w:sz w:val="24"/>
          <w:szCs w:val="24"/>
        </w:rPr>
        <w:t xml:space="preserve"> </w:t>
      </w:r>
      <w:r w:rsidR="008903FE">
        <w:rPr>
          <w:rFonts w:ascii="Times-Roman" w:hAnsi="Times-Roman" w:cs="Times-Roman"/>
          <w:sz w:val="24"/>
          <w:szCs w:val="24"/>
        </w:rPr>
        <w:t>nepriate</w:t>
      </w:r>
      <w:r>
        <w:rPr>
          <w:rFonts w:ascii="TTFFAC5660t00" w:hAnsi="TTFFAC5660t00" w:cs="TTFFAC5660t00"/>
          <w:sz w:val="24"/>
          <w:szCs w:val="24"/>
        </w:rPr>
        <w:t>ľ</w:t>
      </w:r>
      <w:r w:rsidR="008903FE">
        <w:rPr>
          <w:rFonts w:ascii="Times-Roman" w:hAnsi="Times-Roman" w:cs="Times-Roman"/>
          <w:sz w:val="24"/>
          <w:szCs w:val="24"/>
        </w:rPr>
        <w:t>stva a vojnového stavu a inštitútu neutrality). Uvedenú oblas</w:t>
      </w:r>
      <w:r>
        <w:rPr>
          <w:rFonts w:ascii="TTFFAC5660t00" w:hAnsi="TTFFAC5660t00" w:cs="TTFFAC5660t00"/>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možno potom</w:t>
      </w:r>
      <w:r>
        <w:rPr>
          <w:rFonts w:ascii="Times-Roman" w:hAnsi="Times-Roman" w:cs="Times-Roman"/>
          <w:sz w:val="24"/>
          <w:szCs w:val="24"/>
        </w:rPr>
        <w:t xml:space="preserve"> </w:t>
      </w:r>
      <w:r w:rsidR="008903FE">
        <w:rPr>
          <w:rFonts w:ascii="Times-Roman" w:hAnsi="Times-Roman" w:cs="Times-Roman"/>
          <w:sz w:val="24"/>
          <w:szCs w:val="24"/>
        </w:rPr>
        <w:t>ozna</w:t>
      </w:r>
      <w:r>
        <w:rPr>
          <w:rFonts w:ascii="TTFFAC5660t00" w:hAnsi="TTFFAC5660t00" w:cs="TTFFAC5660t00"/>
          <w:sz w:val="24"/>
          <w:szCs w:val="24"/>
        </w:rPr>
        <w:t>č</w:t>
      </w:r>
      <w:r w:rsidR="008903FE">
        <w:rPr>
          <w:rFonts w:ascii="Times-Roman" w:hAnsi="Times-Roman" w:cs="Times-Roman"/>
          <w:sz w:val="24"/>
          <w:szCs w:val="24"/>
        </w:rPr>
        <w:t>i</w:t>
      </w:r>
      <w:r>
        <w:rPr>
          <w:rFonts w:ascii="Times-Roman" w:hAnsi="Times-Roman" w:cs="Times-Roman"/>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ako tradi</w:t>
      </w:r>
      <w:r>
        <w:rPr>
          <w:rFonts w:ascii="TTFFAC5660t00" w:hAnsi="TTFFAC5660t00" w:cs="TTFFAC5660t00"/>
          <w:sz w:val="24"/>
          <w:szCs w:val="24"/>
        </w:rPr>
        <w:t>č</w:t>
      </w:r>
      <w:r w:rsidR="008903FE">
        <w:rPr>
          <w:rFonts w:ascii="Times-Roman" w:hAnsi="Times-Roman" w:cs="Times-Roman"/>
          <w:sz w:val="24"/>
          <w:szCs w:val="24"/>
        </w:rPr>
        <w:t>né vojnové právo.</w:t>
      </w:r>
      <w:r w:rsidR="008903FE">
        <w:rPr>
          <w:rFonts w:ascii="Times-Roman" w:hAnsi="Times-Roman" w:cs="Times-Roman"/>
          <w:sz w:val="16"/>
          <w:szCs w:val="16"/>
        </w:rPr>
        <w:t xml:space="preserve">8 </w:t>
      </w:r>
      <w:r w:rsidR="008903FE">
        <w:rPr>
          <w:rFonts w:ascii="Times-Roman" w:hAnsi="Times-Roman" w:cs="Times-Roman"/>
          <w:sz w:val="24"/>
          <w:szCs w:val="24"/>
        </w:rPr>
        <w:t xml:space="preserve">Ako </w:t>
      </w:r>
      <w:r>
        <w:rPr>
          <w:rFonts w:ascii="TTFFAC5660t00" w:hAnsi="TTFFAC5660t00" w:cs="TTFFAC5660t00"/>
          <w:sz w:val="24"/>
          <w:szCs w:val="24"/>
        </w:rPr>
        <w:t>ď</w:t>
      </w:r>
      <w:r w:rsidR="008903FE">
        <w:rPr>
          <w:rFonts w:ascii="Times-Roman" w:hAnsi="Times-Roman" w:cs="Times-Roman"/>
          <w:sz w:val="24"/>
          <w:szCs w:val="24"/>
        </w:rPr>
        <w:t>alšiu podobnú definíciu pojmu MHP možno</w:t>
      </w:r>
      <w:r>
        <w:rPr>
          <w:rFonts w:ascii="Times-Roman" w:hAnsi="Times-Roman" w:cs="Times-Roman"/>
          <w:sz w:val="24"/>
          <w:szCs w:val="24"/>
        </w:rPr>
        <w:t xml:space="preserve"> </w:t>
      </w:r>
      <w:r w:rsidR="008903FE">
        <w:rPr>
          <w:rFonts w:ascii="Times-Roman" w:hAnsi="Times-Roman" w:cs="Times-Roman"/>
          <w:sz w:val="24"/>
          <w:szCs w:val="24"/>
        </w:rPr>
        <w:t>uvies</w:t>
      </w:r>
      <w:r>
        <w:rPr>
          <w:rFonts w:ascii="TTFFAC5660t00" w:hAnsi="TTFFAC5660t00" w:cs="TTFFAC5660t00"/>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tú, ktorej autorom je prof. Novotný, a síce že MHP treba rozumie</w:t>
      </w:r>
      <w:r>
        <w:rPr>
          <w:rFonts w:ascii="TTFFAC5660t00" w:hAnsi="TTFFAC5660t00" w:cs="TTFFAC5660t00"/>
          <w:sz w:val="24"/>
          <w:szCs w:val="24"/>
        </w:rPr>
        <w:t>ť</w:t>
      </w:r>
      <w:r w:rsidR="008903FE">
        <w:rPr>
          <w:rFonts w:ascii="TTFFAC5660t00" w:hAnsi="TTFFAC5660t00" w:cs="TTFFAC5660t00"/>
          <w:sz w:val="24"/>
          <w:szCs w:val="24"/>
        </w:rPr>
        <w:t xml:space="preserve"> </w:t>
      </w:r>
      <w:r w:rsidR="008903FE">
        <w:rPr>
          <w:rFonts w:ascii="Times-Roman" w:hAnsi="Times-Roman" w:cs="Times-Roman"/>
          <w:sz w:val="24"/>
          <w:szCs w:val="24"/>
        </w:rPr>
        <w:t>komplexný</w:t>
      </w:r>
      <w:r>
        <w:rPr>
          <w:rFonts w:ascii="Times-Roman" w:hAnsi="Times-Roman" w:cs="Times-Roman"/>
          <w:sz w:val="24"/>
          <w:szCs w:val="24"/>
        </w:rPr>
        <w:t xml:space="preserve"> </w:t>
      </w:r>
      <w:r w:rsidR="008903FE">
        <w:rPr>
          <w:rFonts w:ascii="Times-Roman" w:hAnsi="Times-Roman" w:cs="Times-Roman"/>
          <w:sz w:val="24"/>
          <w:szCs w:val="24"/>
        </w:rPr>
        <w:t>systém v minulosti existujúcich dvoch skupín vojnového práva – haagskeho</w:t>
      </w:r>
      <w:r>
        <w:rPr>
          <w:rFonts w:ascii="Times-Roman" w:hAnsi="Times-Roman" w:cs="Times-Roman"/>
          <w:sz w:val="24"/>
          <w:szCs w:val="24"/>
        </w:rPr>
        <w:t xml:space="preserve"> </w:t>
      </w:r>
      <w:r w:rsidR="008903FE">
        <w:rPr>
          <w:rFonts w:ascii="Times-Roman" w:hAnsi="Times-Roman" w:cs="Times-Roman"/>
          <w:sz w:val="24"/>
          <w:szCs w:val="24"/>
        </w:rPr>
        <w:t>a</w:t>
      </w:r>
      <w:r>
        <w:rPr>
          <w:rFonts w:ascii="Times-Roman" w:hAnsi="Times-Roman" w:cs="Times-Roman"/>
          <w:sz w:val="24"/>
          <w:szCs w:val="24"/>
        </w:rPr>
        <w:t> </w:t>
      </w:r>
      <w:r w:rsidR="008903FE">
        <w:rPr>
          <w:rFonts w:ascii="Times-Roman" w:hAnsi="Times-Roman" w:cs="Times-Roman"/>
          <w:sz w:val="24"/>
          <w:szCs w:val="24"/>
        </w:rPr>
        <w:t>ženevského</w:t>
      </w:r>
      <w:r>
        <w:rPr>
          <w:rFonts w:ascii="Times-Roman" w:hAnsi="Times-Roman" w:cs="Times-Roman"/>
          <w:sz w:val="24"/>
          <w:szCs w:val="24"/>
        </w:rPr>
        <w:t>“ (</w:t>
      </w:r>
      <w:proofErr w:type="spellStart"/>
      <w:r>
        <w:rPr>
          <w:rFonts w:ascii="Times-Roman" w:hAnsi="Times-Roman" w:cs="Times-Roman"/>
          <w:sz w:val="24"/>
          <w:szCs w:val="24"/>
        </w:rPr>
        <w:t>Mandičová</w:t>
      </w:r>
      <w:proofErr w:type="spellEnd"/>
      <w:r>
        <w:rPr>
          <w:rFonts w:ascii="Times-Roman" w:hAnsi="Times-Roman" w:cs="Times-Roman"/>
          <w:sz w:val="24"/>
          <w:szCs w:val="24"/>
        </w:rPr>
        <w:t xml:space="preserve"> N., Medzinárodné humanitárne právo, s. 8-9)</w:t>
      </w:r>
    </w:p>
    <w:p w14:paraId="48A90C5E" w14:textId="77777777" w:rsidR="00680878" w:rsidRDefault="00680878" w:rsidP="00680878"/>
    <w:p w14:paraId="6B006D48" w14:textId="554F2FDF" w:rsidR="00680878" w:rsidRDefault="00680878" w:rsidP="00680878">
      <w:pPr>
        <w:pStyle w:val="Nadpis2"/>
        <w:numPr>
          <w:ilvl w:val="1"/>
          <w:numId w:val="2"/>
        </w:numPr>
      </w:pPr>
      <w:bookmarkStart w:id="2" w:name="_Toc23811652"/>
      <w:r>
        <w:t>Základné zásady medzinárodného humanitárneho práva</w:t>
      </w:r>
      <w:bookmarkEnd w:id="2"/>
    </w:p>
    <w:p w14:paraId="49C99468" w14:textId="52B071E2" w:rsidR="00680878" w:rsidRDefault="00680878" w:rsidP="00680878"/>
    <w:p w14:paraId="2BCB7494" w14:textId="310ADA66" w:rsidR="00680878" w:rsidRPr="00E275B0" w:rsidRDefault="00680878" w:rsidP="00680878">
      <w:pPr>
        <w:spacing w:line="360" w:lineRule="auto"/>
        <w:rPr>
          <w:rFonts w:ascii="Times New Roman" w:hAnsi="Times New Roman" w:cs="Times New Roman"/>
          <w:sz w:val="24"/>
          <w:szCs w:val="24"/>
        </w:rPr>
      </w:pPr>
      <w:r w:rsidRPr="00E275B0">
        <w:rPr>
          <w:rFonts w:ascii="Times New Roman" w:hAnsi="Times New Roman" w:cs="Times New Roman"/>
          <w:sz w:val="24"/>
          <w:szCs w:val="24"/>
        </w:rPr>
        <w:t xml:space="preserve">Základnými </w:t>
      </w:r>
      <w:r>
        <w:rPr>
          <w:rFonts w:ascii="Times New Roman" w:hAnsi="Times New Roman" w:cs="Times New Roman"/>
          <w:sz w:val="24"/>
          <w:szCs w:val="24"/>
        </w:rPr>
        <w:t>zásadami</w:t>
      </w:r>
      <w:r w:rsidRPr="00E275B0">
        <w:rPr>
          <w:rFonts w:ascii="Times New Roman" w:hAnsi="Times New Roman" w:cs="Times New Roman"/>
          <w:sz w:val="24"/>
          <w:szCs w:val="24"/>
        </w:rPr>
        <w:t xml:space="preserve">, na ktorých </w:t>
      </w:r>
      <w:r>
        <w:rPr>
          <w:rFonts w:ascii="Times New Roman" w:hAnsi="Times New Roman" w:cs="Times New Roman"/>
          <w:sz w:val="24"/>
          <w:szCs w:val="24"/>
        </w:rPr>
        <w:t>medzinárodné humanitárne právo</w:t>
      </w:r>
      <w:r w:rsidRPr="00E275B0">
        <w:rPr>
          <w:rFonts w:ascii="Times New Roman" w:hAnsi="Times New Roman" w:cs="Times New Roman"/>
          <w:sz w:val="24"/>
          <w:szCs w:val="24"/>
        </w:rPr>
        <w:t xml:space="preserve"> stojí sú: </w:t>
      </w:r>
    </w:p>
    <w:p w14:paraId="37442EE7"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Zásada ľudskosti</w:t>
      </w:r>
    </w:p>
    <w:p w14:paraId="4DC8254A"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Zásada vojenskej nevyhnutnosti</w:t>
      </w:r>
    </w:p>
    <w:p w14:paraId="124B6BC4"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Zásada ochrany civilného obyvateľstva pred účinkami nepriateľstva</w:t>
      </w:r>
    </w:p>
    <w:p w14:paraId="7271F68C"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Zásada rozlišovania</w:t>
      </w:r>
    </w:p>
    <w:p w14:paraId="190C497B"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Zásada proporcionality</w:t>
      </w:r>
    </w:p>
    <w:p w14:paraId="076BA776" w14:textId="77777777" w:rsidR="00680878" w:rsidRPr="00E275B0" w:rsidRDefault="00680878" w:rsidP="00680878">
      <w:pPr>
        <w:pStyle w:val="Odsekzoznamu"/>
        <w:numPr>
          <w:ilvl w:val="0"/>
          <w:numId w:val="3"/>
        </w:numPr>
        <w:spacing w:line="360" w:lineRule="auto"/>
        <w:rPr>
          <w:rFonts w:ascii="Times New Roman" w:hAnsi="Times New Roman" w:cs="Times New Roman"/>
          <w:sz w:val="24"/>
          <w:szCs w:val="24"/>
        </w:rPr>
      </w:pPr>
      <w:r w:rsidRPr="00E275B0">
        <w:rPr>
          <w:rFonts w:ascii="Times New Roman" w:hAnsi="Times New Roman" w:cs="Times New Roman"/>
          <w:i/>
          <w:iCs/>
          <w:sz w:val="24"/>
          <w:szCs w:val="24"/>
        </w:rPr>
        <w:t xml:space="preserve">Zásada rovných záväzkov obom stranám </w:t>
      </w:r>
    </w:p>
    <w:p w14:paraId="4804210D" w14:textId="77777777" w:rsidR="00680878" w:rsidRPr="00E275B0" w:rsidRDefault="00680878" w:rsidP="00754D83">
      <w:pPr>
        <w:pStyle w:val="Default"/>
        <w:spacing w:line="360" w:lineRule="auto"/>
        <w:ind w:firstLine="708"/>
        <w:jc w:val="both"/>
      </w:pPr>
      <w:r w:rsidRPr="00E275B0">
        <w:rPr>
          <w:i/>
          <w:iCs/>
        </w:rPr>
        <w:t xml:space="preserve">Zásada ľudskosti  - </w:t>
      </w:r>
      <w:r w:rsidRPr="00E275B0">
        <w:t>Túto zásadu je potrebné vnímať ako základný pilier celého medzinárodného humanitárneho práva. Ľudskosť ako základný predpoklad dobrých vzájomných vzťahov. Všetky štáty, národy, skupiny ľudí ako aj jednotlivci sú povinný dodržiavať základné princípy charakterizujúce ľudskosť. Bez ohľadu na to, či sú niektoré princípy zakotvené v dohovoroch, alebo nie, chráni základné ľudské hodnoty. Táto zásada chráni základné hodnoty ľudskej osobnosti a ľudskej civilizácie. Prestupuje celé humanitárne právo a špecificky sa premieta do všetkých jeho oblastí.</w:t>
      </w:r>
    </w:p>
    <w:p w14:paraId="6174B8A0" w14:textId="77777777" w:rsidR="00680878" w:rsidRPr="00E275B0" w:rsidRDefault="00680878" w:rsidP="00754D83">
      <w:pPr>
        <w:pStyle w:val="Default"/>
        <w:spacing w:line="360" w:lineRule="auto"/>
        <w:jc w:val="both"/>
      </w:pPr>
    </w:p>
    <w:p w14:paraId="55DBC836" w14:textId="77777777" w:rsidR="00680878" w:rsidRPr="00E275B0" w:rsidRDefault="00680878" w:rsidP="00754D83">
      <w:pPr>
        <w:pStyle w:val="Default"/>
        <w:spacing w:line="360" w:lineRule="auto"/>
        <w:ind w:firstLine="708"/>
        <w:jc w:val="both"/>
      </w:pPr>
      <w:r w:rsidRPr="00E275B0">
        <w:rPr>
          <w:i/>
          <w:iCs/>
        </w:rPr>
        <w:t xml:space="preserve">Zásada vojenskej nevyhnutnosti </w:t>
      </w:r>
      <w:r w:rsidRPr="00E275B0">
        <w:t xml:space="preserve">- Táto zásada bola prvý krát zakotvená v tzv. </w:t>
      </w:r>
      <w:proofErr w:type="spellStart"/>
      <w:r w:rsidRPr="00E275B0">
        <w:t>Lieberovom</w:t>
      </w:r>
      <w:proofErr w:type="spellEnd"/>
      <w:r w:rsidRPr="00E275B0">
        <w:t xml:space="preserve"> kódexe v roku 1863. Táto zásada má vplyv na obmedzenia násilia v ozbrojenom konflikte. Jednotlivé bojujúce strany môžu používať len taký druh vojenskej sily, ktorý je </w:t>
      </w:r>
      <w:r w:rsidRPr="00E275B0">
        <w:lastRenderedPageBreak/>
        <w:t xml:space="preserve">nevyhnutný pre porážku nepriateľa v čo najkratšom čase s minimálnymi škodami. Zásada vojenskej nevyhnutnosti tvorí protiváhu a doplnok zásady ľudskosti. </w:t>
      </w:r>
    </w:p>
    <w:p w14:paraId="6B9CA3A5" w14:textId="77777777" w:rsidR="00680878" w:rsidRPr="00E275B0" w:rsidRDefault="00680878" w:rsidP="00754D83">
      <w:pPr>
        <w:pStyle w:val="Default"/>
        <w:spacing w:line="360" w:lineRule="auto"/>
        <w:jc w:val="both"/>
      </w:pPr>
    </w:p>
    <w:p w14:paraId="733EDD96" w14:textId="77777777" w:rsidR="00680878" w:rsidRPr="00E275B0" w:rsidRDefault="00680878" w:rsidP="00754D83">
      <w:pPr>
        <w:pStyle w:val="Default"/>
        <w:spacing w:line="360" w:lineRule="auto"/>
        <w:ind w:firstLine="708"/>
        <w:jc w:val="both"/>
      </w:pPr>
      <w:r w:rsidRPr="00E275B0">
        <w:rPr>
          <w:i/>
          <w:iCs/>
        </w:rPr>
        <w:t xml:space="preserve">Zásada ochrany civilného obyvateľstva pred účinkami nepriateľstva </w:t>
      </w:r>
      <w:r w:rsidRPr="00E275B0">
        <w:t xml:space="preserve">- Priamo úmerne technickému pokroku pri ozbrojených konfliktoch je civilné obyvateľstvo čoraz viac vystavované účinkom nepriateľstva. K výraznejším opatreniam k ochrane civilného obyvateľstva došlo až po druhej svetovej vojne prijatím ženevských dohovorov v roku 1949. V zmysle tejto zásady znepriatelené strany v ozbrojenom konflikte sa musia vyvarovať bojových operácii tak, aby civilné obyvateľstvo bolo postihnuté čo najmenej. </w:t>
      </w:r>
    </w:p>
    <w:p w14:paraId="4DC7AC04" w14:textId="77777777" w:rsidR="00680878" w:rsidRPr="00E275B0" w:rsidRDefault="00680878" w:rsidP="00754D83">
      <w:pPr>
        <w:pStyle w:val="Default"/>
        <w:spacing w:line="360" w:lineRule="auto"/>
        <w:jc w:val="both"/>
      </w:pPr>
      <w:r w:rsidRPr="00E275B0">
        <w:t>Chránené osoby majú napriek všetkým okolnostiam právo na to, aby bola rešpektovaná ich osoba, česť, ich rodinné práva, náboženské presvedčenie, ich spôsoby a zvyky Musí byť s nimi vždy nakladané ľudsky a musia byť chránené pred každým aktom násilia alebo zastrašovania, pred urážkami a zvedavosťou obecenstva.</w:t>
      </w:r>
    </w:p>
    <w:p w14:paraId="001EFE48" w14:textId="77777777" w:rsidR="00680878" w:rsidRPr="00E275B0" w:rsidRDefault="00680878" w:rsidP="00754D83">
      <w:pPr>
        <w:pStyle w:val="Default"/>
        <w:spacing w:line="360" w:lineRule="auto"/>
        <w:jc w:val="both"/>
      </w:pPr>
      <w:r w:rsidRPr="00E275B0">
        <w:t>Zároveň vychádzajúc s tejto zásady k zaisteniu rešpektovania civilného obyvateľstva ako aj civilných objektov musia strany v ozbrojenom konflikte vždy robiť rozdiel medzi ozbrojenými jednotkami a civilným obyvateľstvom spolu s civilnými objektami. V súlade s touto zásadou ozbrojené operácie budú vedené len proti vojenským objektom.</w:t>
      </w:r>
    </w:p>
    <w:p w14:paraId="400DC80E" w14:textId="77777777" w:rsidR="00680878" w:rsidRPr="00E275B0" w:rsidRDefault="00680878" w:rsidP="00754D83">
      <w:pPr>
        <w:pStyle w:val="Default"/>
        <w:spacing w:line="360" w:lineRule="auto"/>
        <w:jc w:val="both"/>
      </w:pPr>
    </w:p>
    <w:p w14:paraId="6BC087E4" w14:textId="77777777" w:rsidR="00680878" w:rsidRPr="00E275B0" w:rsidRDefault="00680878" w:rsidP="00754D83">
      <w:pPr>
        <w:pStyle w:val="Default"/>
        <w:spacing w:line="360" w:lineRule="auto"/>
        <w:ind w:firstLine="708"/>
        <w:jc w:val="both"/>
      </w:pPr>
      <w:r w:rsidRPr="00E275B0">
        <w:rPr>
          <w:i/>
          <w:iCs/>
        </w:rPr>
        <w:t xml:space="preserve">Zásada rozlišovania </w:t>
      </w:r>
      <w:r w:rsidRPr="00E275B0">
        <w:t xml:space="preserve"> - Táto zásada je pilierom celej právnej úpravy medzinárodného humanitárneho práva vo vedení ozbrojených konfliktov. Má obyčajovú povahu. Zásada je obsiahnuté už v počiatkoch kodifikovania. Počiatky nájdeme už v </w:t>
      </w:r>
      <w:r w:rsidRPr="00E275B0">
        <w:rPr>
          <w:i/>
          <w:iCs/>
        </w:rPr>
        <w:t>Petrohradskej deklarácii</w:t>
      </w:r>
      <w:r w:rsidRPr="00E275B0">
        <w:t>, resp. v haagskych dohovoroch. Ide o zákaz vedenia ozbrojeného útoku proti civilistom. Pokiaľ ide o pochybnosť, či civilný objekt ako škola, kostol, alebo rodinný dom sa používa ako vojenský objekt, vychádza sa zo zásady, že takýto objekt je civilný.</w:t>
      </w:r>
    </w:p>
    <w:p w14:paraId="542A3701" w14:textId="77777777" w:rsidR="00680878" w:rsidRPr="00E275B0" w:rsidRDefault="00680878" w:rsidP="00754D83">
      <w:pPr>
        <w:pStyle w:val="Default"/>
        <w:spacing w:line="360" w:lineRule="auto"/>
        <w:jc w:val="both"/>
      </w:pPr>
    </w:p>
    <w:p w14:paraId="728D00E5" w14:textId="77777777" w:rsidR="00680878" w:rsidRPr="00E275B0" w:rsidRDefault="00680878" w:rsidP="00754D83">
      <w:pPr>
        <w:pStyle w:val="Default"/>
        <w:spacing w:line="360" w:lineRule="auto"/>
        <w:ind w:firstLine="708"/>
        <w:jc w:val="both"/>
      </w:pPr>
      <w:r w:rsidRPr="00E275B0">
        <w:rPr>
          <w:i/>
          <w:iCs/>
        </w:rPr>
        <w:t xml:space="preserve">Zásada proporcionality </w:t>
      </w:r>
      <w:r w:rsidRPr="00E275B0">
        <w:t>- Táto zásada nie je nikde zakotvená, teda v žiadnom dokumente. Táto zásada má obyčajovú povahu. Vychádzajúc z tejto zásady stranám v ozbrojenom konflikte pripomína, že sú zakázané také útoky o ktorých je možné predpokladať, že spôsobia pridružené škody. Niekedy je táto zásada odborníkmi považovaná za ,,</w:t>
      </w:r>
      <w:r w:rsidRPr="00E275B0">
        <w:rPr>
          <w:i/>
          <w:iCs/>
        </w:rPr>
        <w:t>Achillovu pätu</w:t>
      </w:r>
      <w:r w:rsidRPr="00E275B0">
        <w:t>“ haagskeho práva, nakoľko je založená na porovnávaní hodnôt, ktoré sa javia ako neporovnateľné. Vyvstáva tu otázka, či smrť človeka je možné porovnávať z vojenskou výhodou.</w:t>
      </w:r>
    </w:p>
    <w:p w14:paraId="266841BC" w14:textId="77777777" w:rsidR="00680878" w:rsidRPr="00E275B0" w:rsidRDefault="00680878" w:rsidP="00754D83">
      <w:pPr>
        <w:pStyle w:val="Default"/>
        <w:spacing w:line="360" w:lineRule="auto"/>
        <w:jc w:val="both"/>
      </w:pPr>
    </w:p>
    <w:p w14:paraId="5FC5F34F" w14:textId="2DEFBF9D" w:rsidR="00680878" w:rsidRDefault="00680878" w:rsidP="00754D83">
      <w:pPr>
        <w:spacing w:line="360" w:lineRule="auto"/>
        <w:ind w:firstLine="708"/>
        <w:jc w:val="both"/>
      </w:pPr>
      <w:r w:rsidRPr="00E275B0">
        <w:rPr>
          <w:rFonts w:ascii="Times New Roman" w:hAnsi="Times New Roman" w:cs="Times New Roman"/>
          <w:i/>
          <w:iCs/>
          <w:sz w:val="24"/>
          <w:szCs w:val="24"/>
        </w:rPr>
        <w:lastRenderedPageBreak/>
        <w:t xml:space="preserve">Zásada rovných záväzkov obom stranám </w:t>
      </w:r>
      <w:r>
        <w:rPr>
          <w:rFonts w:ascii="Times New Roman" w:hAnsi="Times New Roman" w:cs="Times New Roman"/>
          <w:i/>
          <w:iCs/>
          <w:sz w:val="24"/>
          <w:szCs w:val="24"/>
        </w:rPr>
        <w:t>–</w:t>
      </w:r>
      <w:r w:rsidRPr="00E275B0">
        <w:rPr>
          <w:rFonts w:ascii="Times New Roman" w:hAnsi="Times New Roman" w:cs="Times New Roman"/>
          <w:i/>
          <w:iCs/>
          <w:sz w:val="24"/>
          <w:szCs w:val="24"/>
        </w:rPr>
        <w:t xml:space="preserve"> </w:t>
      </w:r>
      <w:r>
        <w:rPr>
          <w:rFonts w:ascii="Times New Roman" w:hAnsi="Times New Roman" w:cs="Times New Roman"/>
          <w:iCs/>
          <w:sz w:val="24"/>
          <w:szCs w:val="24"/>
        </w:rPr>
        <w:t xml:space="preserve">Táto zásada spočíva v tom, že humanitárne právo zaväzuje rovnakou mierou všetky strany v konflikte a ukladá im rovnaké záväzky, pričom sa  neprihliada ani na príčiny konfliktu, jeho povahy, rozsah či dĺžku konfliktu. </w:t>
      </w:r>
      <w:bookmarkStart w:id="3" w:name="_GoBack"/>
      <w:bookmarkEnd w:id="3"/>
    </w:p>
    <w:sectPr w:rsidR="00680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TFFAC5660t00">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B5F00"/>
    <w:multiLevelType w:val="multilevel"/>
    <w:tmpl w:val="786407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CAA29BE"/>
    <w:multiLevelType w:val="hybridMultilevel"/>
    <w:tmpl w:val="220441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AD95178"/>
    <w:multiLevelType w:val="hybridMultilevel"/>
    <w:tmpl w:val="6728E3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9F"/>
    <w:rsid w:val="005C4DE5"/>
    <w:rsid w:val="00680878"/>
    <w:rsid w:val="00754D83"/>
    <w:rsid w:val="00773EBA"/>
    <w:rsid w:val="008903FE"/>
    <w:rsid w:val="00AE019F"/>
    <w:rsid w:val="00BC6971"/>
    <w:rsid w:val="00DF0B16"/>
    <w:rsid w:val="00EA32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CE2D"/>
  <w15:chartTrackingRefBased/>
  <w15:docId w15:val="{984DE97D-7206-4485-9938-E4373182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80878"/>
  </w:style>
  <w:style w:type="paragraph" w:styleId="Nadpis1">
    <w:name w:val="heading 1"/>
    <w:aliases w:val="Hlavný nadpis"/>
    <w:basedOn w:val="Normlny"/>
    <w:next w:val="Normlny"/>
    <w:link w:val="Nadpis1Char"/>
    <w:uiPriority w:val="9"/>
    <w:qFormat/>
    <w:rsid w:val="00680878"/>
    <w:pPr>
      <w:keepNext/>
      <w:keepLines/>
      <w:spacing w:before="240" w:after="0"/>
      <w:outlineLvl w:val="0"/>
    </w:pPr>
    <w:rPr>
      <w:rFonts w:ascii="Times New Roman" w:eastAsiaTheme="majorEastAsia" w:hAnsi="Times New Roman" w:cstheme="majorBidi"/>
      <w:b/>
      <w:sz w:val="32"/>
      <w:szCs w:val="32"/>
    </w:rPr>
  </w:style>
  <w:style w:type="paragraph" w:styleId="Nadpis2">
    <w:name w:val="heading 2"/>
    <w:aliases w:val="Podnadpis"/>
    <w:basedOn w:val="Normlny"/>
    <w:next w:val="Normlny"/>
    <w:link w:val="Nadpis2Char"/>
    <w:uiPriority w:val="9"/>
    <w:unhideWhenUsed/>
    <w:qFormat/>
    <w:rsid w:val="00680878"/>
    <w:pPr>
      <w:keepNext/>
      <w:keepLines/>
      <w:spacing w:before="40" w:after="0"/>
      <w:outlineLvl w:val="1"/>
    </w:pPr>
    <w:rPr>
      <w:rFonts w:ascii="Times New Roman" w:eastAsiaTheme="majorEastAsia" w:hAnsi="Times New Roman" w:cstheme="majorBidi"/>
      <w:b/>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Hlavný nadpis Char"/>
    <w:basedOn w:val="Predvolenpsmoodseku"/>
    <w:link w:val="Nadpis1"/>
    <w:uiPriority w:val="9"/>
    <w:rsid w:val="00680878"/>
    <w:rPr>
      <w:rFonts w:ascii="Times New Roman" w:eastAsiaTheme="majorEastAsia" w:hAnsi="Times New Roman" w:cstheme="majorBidi"/>
      <w:b/>
      <w:sz w:val="32"/>
      <w:szCs w:val="32"/>
    </w:rPr>
  </w:style>
  <w:style w:type="paragraph" w:styleId="Hlavikaobsahu">
    <w:name w:val="TOC Heading"/>
    <w:basedOn w:val="Nadpis1"/>
    <w:next w:val="Normlny"/>
    <w:uiPriority w:val="39"/>
    <w:unhideWhenUsed/>
    <w:qFormat/>
    <w:rsid w:val="00680878"/>
    <w:pPr>
      <w:outlineLvl w:val="9"/>
    </w:pPr>
    <w:rPr>
      <w:lang w:eastAsia="sk-SK"/>
    </w:rPr>
  </w:style>
  <w:style w:type="paragraph" w:styleId="Odsekzoznamu">
    <w:name w:val="List Paragraph"/>
    <w:basedOn w:val="Normlny"/>
    <w:uiPriority w:val="34"/>
    <w:qFormat/>
    <w:rsid w:val="00680878"/>
    <w:pPr>
      <w:ind w:left="720"/>
      <w:contextualSpacing/>
    </w:pPr>
  </w:style>
  <w:style w:type="character" w:customStyle="1" w:styleId="Nadpis2Char">
    <w:name w:val="Nadpis 2 Char"/>
    <w:aliases w:val="Podnadpis Char"/>
    <w:basedOn w:val="Predvolenpsmoodseku"/>
    <w:link w:val="Nadpis2"/>
    <w:uiPriority w:val="9"/>
    <w:rsid w:val="00680878"/>
    <w:rPr>
      <w:rFonts w:ascii="Times New Roman" w:eastAsiaTheme="majorEastAsia" w:hAnsi="Times New Roman" w:cstheme="majorBidi"/>
      <w:b/>
      <w:sz w:val="28"/>
      <w:szCs w:val="26"/>
    </w:rPr>
  </w:style>
  <w:style w:type="paragraph" w:customStyle="1" w:styleId="Default">
    <w:name w:val="Default"/>
    <w:rsid w:val="00680878"/>
    <w:pPr>
      <w:autoSpaceDE w:val="0"/>
      <w:autoSpaceDN w:val="0"/>
      <w:adjustRightInd w:val="0"/>
      <w:spacing w:after="0" w:line="240" w:lineRule="auto"/>
    </w:pPr>
    <w:rPr>
      <w:rFonts w:ascii="Times New Roman" w:hAnsi="Times New Roman" w:cs="Times New Roman"/>
      <w:color w:val="000000"/>
      <w:sz w:val="24"/>
      <w:szCs w:val="24"/>
    </w:rPr>
  </w:style>
  <w:style w:type="paragraph" w:styleId="Obsah1">
    <w:name w:val="toc 1"/>
    <w:basedOn w:val="Normlny"/>
    <w:next w:val="Normlny"/>
    <w:autoRedefine/>
    <w:uiPriority w:val="39"/>
    <w:unhideWhenUsed/>
    <w:rsid w:val="00DF0B16"/>
    <w:pPr>
      <w:spacing w:after="100"/>
    </w:pPr>
  </w:style>
  <w:style w:type="paragraph" w:styleId="Obsah2">
    <w:name w:val="toc 2"/>
    <w:basedOn w:val="Normlny"/>
    <w:next w:val="Normlny"/>
    <w:autoRedefine/>
    <w:uiPriority w:val="39"/>
    <w:unhideWhenUsed/>
    <w:rsid w:val="00DF0B16"/>
    <w:pPr>
      <w:spacing w:after="100"/>
      <w:ind w:left="220"/>
    </w:pPr>
  </w:style>
  <w:style w:type="character" w:styleId="Hypertextovprepojenie">
    <w:name w:val="Hyperlink"/>
    <w:basedOn w:val="Predvolenpsmoodseku"/>
    <w:uiPriority w:val="99"/>
    <w:unhideWhenUsed/>
    <w:rsid w:val="00DF0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0ADF9-2D78-4A36-9988-5C4BD443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1275</Words>
  <Characters>7268</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6</cp:revision>
  <dcterms:created xsi:type="dcterms:W3CDTF">2019-11-05T00:26:00Z</dcterms:created>
  <dcterms:modified xsi:type="dcterms:W3CDTF">2019-12-12T12:43:00Z</dcterms:modified>
</cp:coreProperties>
</file>