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BF1957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>II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5565355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2B411C">
              <w:rPr>
                <w:rFonts w:ascii="Calibri" w:hAnsi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126" w:type="dxa"/>
            <w:shd w:val="clear" w:color="auto" w:fill="auto"/>
          </w:tcPr>
          <w:p w14:paraId="45F97671" w14:textId="507B5C18" w:rsidR="003A578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2B411C">
              <w:rPr>
                <w:rFonts w:ascii="Calibri" w:hAnsi="Calibri"/>
                <w:b/>
                <w:bCs/>
                <w:sz w:val="20"/>
                <w:szCs w:val="20"/>
              </w:rPr>
              <w:t>13.3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.202</w:t>
            </w:r>
            <w:r w:rsidR="003A578A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6A2348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B411C">
              <w:rPr>
                <w:rFonts w:ascii="Calibri" w:hAnsi="Calibri"/>
                <w:sz w:val="20"/>
                <w:szCs w:val="20"/>
              </w:rPr>
              <w:t>Exotermické a endotermické reakcie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CEC7692" w14:textId="65514736" w:rsidR="00A01B68" w:rsidRDefault="00A01B68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6F40F0">
              <w:rPr>
                <w:rFonts w:ascii="Calibri" w:hAnsi="Calibri"/>
                <w:b/>
                <w:bCs/>
                <w:sz w:val="20"/>
                <w:szCs w:val="20"/>
              </w:rPr>
              <w:t xml:space="preserve">vyjadriť rozdiel medzi </w:t>
            </w:r>
            <w:r w:rsidR="002B411C">
              <w:rPr>
                <w:rFonts w:ascii="Calibri" w:hAnsi="Calibri"/>
                <w:b/>
                <w:bCs/>
                <w:sz w:val="20"/>
                <w:szCs w:val="20"/>
              </w:rPr>
              <w:t>exotermickými a endotermickými reakciami.</w:t>
            </w:r>
          </w:p>
          <w:p w14:paraId="5659D11F" w14:textId="1C814496" w:rsidR="0054074A" w:rsidRDefault="002B411C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priradiť jednotlivé príklady k exotermickým alebo endotermickým reakciám.</w:t>
            </w:r>
          </w:p>
          <w:p w14:paraId="672A6659" w14:textId="0704CA53" w:rsidR="00CD7B39" w:rsidRPr="003A72B8" w:rsidRDefault="00CD7B39" w:rsidP="006F40F0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2B411C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2B411C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2B411C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2B411C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2B411C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2B411C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96405A">
              <w:rPr>
                <w:rFonts w:ascii="Calibri" w:hAnsi="Calibri"/>
                <w:bCs/>
                <w:sz w:val="20"/>
                <w:szCs w:val="20"/>
                <w:u w:val="single"/>
              </w:rPr>
              <w:t>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problémová otázka, </w:t>
            </w:r>
            <w:r w:rsidRPr="002B411C">
              <w:rPr>
                <w:rFonts w:ascii="Calibri" w:hAnsi="Calibri"/>
                <w:bCs/>
                <w:sz w:val="20"/>
                <w:szCs w:val="20"/>
                <w:u w:val="single"/>
              </w:rPr>
              <w:t>demonštrácia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(diskusia, práca s učebnicou, práca s periodickou sústavou prvkov, bádateľská metóda, heuristická metóda, modelovanie a simulácia, </w:t>
            </w:r>
            <w:r w:rsidRPr="002B411C">
              <w:rPr>
                <w:rFonts w:ascii="Calibri" w:hAnsi="Calibri"/>
                <w:sz w:val="20"/>
                <w:szCs w:val="20"/>
                <w:u w:val="single"/>
              </w:rPr>
              <w:t>situačná metóda</w:t>
            </w:r>
            <w:r w:rsidRPr="1E84290B">
              <w:rPr>
                <w:rFonts w:ascii="Calibri" w:hAnsi="Calibri"/>
                <w:sz w:val="20"/>
                <w:szCs w:val="20"/>
              </w:rPr>
              <w:t>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2B411C">
              <w:rPr>
                <w:rFonts w:ascii="Calibri" w:hAnsi="Calibri"/>
                <w:sz w:val="20"/>
                <w:szCs w:val="20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2B411C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diskusia, demonštrácia, pozorovanie, manipulácia s predmetmi, laboratórne práce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</w:t>
            </w:r>
            <w:r w:rsidRPr="002B411C">
              <w:rPr>
                <w:rFonts w:ascii="Calibri" w:hAnsi="Calibri"/>
                <w:bCs/>
                <w:sz w:val="20"/>
                <w:szCs w:val="20"/>
                <w:u w:val="single"/>
              </w:rPr>
              <w:t>ústne opakovanie učiva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2B411C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2B411C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(známkou, bodmi, percentami, </w:t>
            </w:r>
            <w:r w:rsidRPr="002B411C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(napr. </w:t>
            </w:r>
            <w:r w:rsidRPr="002B411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skutočné látky a predmety</w:t>
            </w:r>
            <w:r w:rsidRPr="002B411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  <w:u w:val="single"/>
              </w:rPr>
              <w:t xml:space="preserve">, </w:t>
            </w:r>
            <w:r w:rsidRPr="002B411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chemikálie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modely</w:t>
            </w:r>
            <w:r w:rsidRPr="002B411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,</w:t>
            </w:r>
            <w:r w:rsidR="00134544" w:rsidRPr="002B411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 xml:space="preserve"> </w:t>
            </w:r>
            <w:r w:rsidRPr="002B411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laboratórne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1E0623F5" w:rsidR="0054074A" w:rsidRPr="008F02CE" w:rsidRDefault="00033F5C" w:rsidP="00EE3064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2B411C">
              <w:rPr>
                <w:rFonts w:ascii="Calibri" w:hAnsi="Calibri"/>
                <w:bCs/>
                <w:sz w:val="20"/>
                <w:szCs w:val="20"/>
              </w:rPr>
              <w:t xml:space="preserve">tabuľa, PC, notebook, tablet, interaktívna tabuľa, </w:t>
            </w:r>
            <w:proofErr w:type="spellStart"/>
            <w:r w:rsidRPr="002B411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lastRenderedPageBreak/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3"/>
        <w:gridCol w:w="3945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5E65AB87" w:rsidR="006D3381" w:rsidRPr="006D3381" w:rsidRDefault="002B411C" w:rsidP="002B411C">
            <w:pPr>
              <w:spacing w:befor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 začiatok</w:t>
            </w:r>
            <w:r w:rsidR="00A01B68">
              <w:rPr>
                <w:bCs/>
                <w:sz w:val="22"/>
                <w:szCs w:val="22"/>
              </w:rPr>
              <w:t xml:space="preserve"> hodiny si </w:t>
            </w:r>
            <w:r>
              <w:rPr>
                <w:bCs/>
                <w:sz w:val="22"/>
                <w:szCs w:val="22"/>
              </w:rPr>
              <w:t xml:space="preserve">overím </w:t>
            </w:r>
            <w:r w:rsidR="00A01B68">
              <w:rPr>
                <w:bCs/>
                <w:sz w:val="22"/>
                <w:szCs w:val="22"/>
              </w:rPr>
              <w:t>počet žiakov a </w:t>
            </w:r>
            <w:r>
              <w:rPr>
                <w:bCs/>
                <w:sz w:val="22"/>
                <w:szCs w:val="22"/>
              </w:rPr>
              <w:t>do</w:t>
            </w:r>
            <w:r w:rsidR="00A01B68">
              <w:rPr>
                <w:bCs/>
                <w:sz w:val="22"/>
                <w:szCs w:val="22"/>
              </w:rPr>
              <w:t xml:space="preserve"> aplikácie </w:t>
            </w:r>
            <w:proofErr w:type="spellStart"/>
            <w:r w:rsidR="00A01B68"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 xml:space="preserve"> zapíšem 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7BC33FEC" w:rsidR="00D96A11" w:rsidRDefault="00860936" w:rsidP="00636C20">
            <w:pPr>
              <w:ind w:firstLine="0"/>
              <w:jc w:val="center"/>
            </w:pPr>
            <w:r>
              <w:t xml:space="preserve">0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0A506674" w:rsidR="006D3381" w:rsidRPr="006D3381" w:rsidRDefault="002B411C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Žiakom</w:t>
            </w:r>
            <w:r w:rsidR="00DD2B2F">
              <w:t xml:space="preserve"> </w:t>
            </w:r>
            <w:r>
              <w:t>na úvod neoboznámim s cieľom dnešnej hodiny, pretože sa k cieľu dopracujeme prostredníctvom pokusov.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5BF3F9F0" w:rsidR="00D96A11" w:rsidRDefault="009B7C6E" w:rsidP="00636C20">
            <w:pPr>
              <w:ind w:firstLine="0"/>
              <w:jc w:val="center"/>
            </w:pPr>
            <w:r>
              <w:t>5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3FAEBFF5" w:rsidR="00CD3B70" w:rsidRPr="00A26873" w:rsidRDefault="002B411C" w:rsidP="00EE3064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Na začiatok</w:t>
            </w:r>
            <w:r w:rsidR="00860936">
              <w:rPr>
                <w:bCs/>
              </w:rPr>
              <w:t xml:space="preserve"> so žiakmi preberiem ich domácu úlohu a videá, ktoré poslali na tému rýchlosť chemických reakcií. Žiaci okomentujú ich výsledky</w:t>
            </w:r>
            <w:r w:rsidR="00EE3064">
              <w:rPr>
                <w:bCs/>
              </w:rPr>
              <w:t>, postrehy, správne formulovaný záver. N</w:t>
            </w:r>
            <w:r w:rsidR="00860936">
              <w:rPr>
                <w:bCs/>
              </w:rPr>
              <w:t>a nadviazanie témy im položím pár otázok na zopakovanie pričom slovne ohodnotím ako si pamätajú učivo. Ukážem im pár pokusov, pričom budú musieť určiť</w:t>
            </w:r>
            <w:r w:rsidR="00EE3064">
              <w:rPr>
                <w:bCs/>
              </w:rPr>
              <w:t xml:space="preserve">, </w:t>
            </w:r>
            <w:r w:rsidR="00860936">
              <w:rPr>
                <w:bCs/>
              </w:rPr>
              <w:t>či ide o rýchlu alebo pomalú reakciu.</w:t>
            </w:r>
          </w:p>
        </w:tc>
        <w:tc>
          <w:tcPr>
            <w:tcW w:w="3969" w:type="dxa"/>
          </w:tcPr>
          <w:p w14:paraId="03A3D633" w14:textId="77777777" w:rsidR="00EE3064" w:rsidRDefault="002B411C" w:rsidP="00EE3064">
            <w:pPr>
              <w:ind w:firstLine="0"/>
            </w:pPr>
            <w:r>
              <w:t>-kde sa stretávame s pojmom rýchlosť</w:t>
            </w:r>
            <w:r>
              <w:br/>
              <w:t>-ako rozdeľujeme chemické reakcie</w:t>
            </w:r>
            <w:r>
              <w:br/>
              <w:t>-stručný opis rýchlej reakcie + príklad</w:t>
            </w:r>
            <w:r>
              <w:br/>
              <w:t>-stručný opis pomalej reakcie + príklad</w:t>
            </w:r>
            <w:r>
              <w:br/>
              <w:t xml:space="preserve">-čo ovplyvňuje rýchlosť </w:t>
            </w:r>
            <w:proofErr w:type="spellStart"/>
            <w:r>
              <w:t>chem</w:t>
            </w:r>
            <w:proofErr w:type="spellEnd"/>
            <w:r>
              <w:t xml:space="preserve">. </w:t>
            </w:r>
            <w:proofErr w:type="spellStart"/>
            <w:r>
              <w:t>reackie</w:t>
            </w:r>
            <w:proofErr w:type="spellEnd"/>
            <w:r>
              <w:t xml:space="preserve"> </w:t>
            </w:r>
            <w:r w:rsidR="00EE3064">
              <w:t xml:space="preserve">Pokusy: </w:t>
            </w:r>
            <w:proofErr w:type="spellStart"/>
            <w:r w:rsidR="00EE3064">
              <w:t>zrážacia</w:t>
            </w:r>
            <w:proofErr w:type="spellEnd"/>
            <w:r w:rsidR="00EE3064">
              <w:t xml:space="preserve"> </w:t>
            </w:r>
            <w:r w:rsidR="00EE3064">
              <w:t xml:space="preserve">reakcia </w:t>
            </w:r>
          </w:p>
          <w:p w14:paraId="0D0B940D" w14:textId="04CC8655" w:rsidR="00D96A11" w:rsidRPr="00EE3064" w:rsidRDefault="00EE3064" w:rsidP="00EE3064">
            <w:pPr>
              <w:ind w:firstLine="0"/>
              <w:rPr>
                <w:vertAlign w:val="subscript"/>
              </w:rPr>
            </w:pPr>
            <w:r>
              <w:t>KI + Pb(NO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br/>
              <w:t>CuSO</w:t>
            </w:r>
            <w:r>
              <w:rPr>
                <w:vertAlign w:val="subscript"/>
              </w:rPr>
              <w:t xml:space="preserve">4  </w:t>
            </w:r>
            <w:r>
              <w:t>+ Fe</w:t>
            </w:r>
            <w:r>
              <w:t xml:space="preserve"> , rozpúšťanie soli vo vode,                 </w:t>
            </w:r>
            <w:proofErr w:type="spellStart"/>
            <w:r>
              <w:t>HCl</w:t>
            </w:r>
            <w:proofErr w:type="spellEnd"/>
            <w:r>
              <w:t xml:space="preserve"> + Zn</w:t>
            </w: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05AF928E" w:rsidR="00D96A11" w:rsidRDefault="008E3A52" w:rsidP="00636C20">
            <w:pPr>
              <w:ind w:firstLine="0"/>
              <w:jc w:val="center"/>
            </w:pPr>
            <w:r>
              <w:t>25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20DA1499" w:rsidR="00EB1F53" w:rsidRPr="001957A3" w:rsidRDefault="00860936" w:rsidP="00EE3064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Pomocou pokusov žiakov navediem na tému dnešnej hodiny.</w:t>
            </w:r>
            <w:r w:rsidR="00EE3064">
              <w:rPr>
                <w:bCs/>
                <w:sz w:val="22"/>
                <w:szCs w:val="22"/>
              </w:rPr>
              <w:t xml:space="preserve"> Dlaňou každý žiak zistí dojem o teplote kadičky s vodou pred pokusom. Následne rozpustím vo vode </w:t>
            </w:r>
            <w:proofErr w:type="spellStart"/>
            <w:r w:rsidR="00EE3064">
              <w:rPr>
                <w:bCs/>
                <w:sz w:val="22"/>
                <w:szCs w:val="22"/>
              </w:rPr>
              <w:t>NaOH</w:t>
            </w:r>
            <w:proofErr w:type="spellEnd"/>
            <w:r w:rsidR="00EE3064">
              <w:rPr>
                <w:bCs/>
                <w:sz w:val="22"/>
                <w:szCs w:val="22"/>
              </w:rPr>
              <w:t xml:space="preserve"> a opäť dám žiakom zistiť dojem o teplote kadičky. Vyzvem žiaka, aby do kadičky s vodou vložil sondu </w:t>
            </w:r>
            <w:r w:rsidR="00EE3064">
              <w:rPr>
                <w:bCs/>
                <w:sz w:val="22"/>
                <w:szCs w:val="22"/>
              </w:rPr>
              <w:lastRenderedPageBreak/>
              <w:t xml:space="preserve">na meranie teploty a zapol meranie na </w:t>
            </w:r>
            <w:proofErr w:type="spellStart"/>
            <w:r w:rsidR="00EE3064">
              <w:rPr>
                <w:bCs/>
                <w:sz w:val="22"/>
                <w:szCs w:val="22"/>
              </w:rPr>
              <w:t>Vernier</w:t>
            </w:r>
            <w:proofErr w:type="spellEnd"/>
            <w:r w:rsidR="00EE306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EE3064">
              <w:rPr>
                <w:bCs/>
                <w:sz w:val="22"/>
                <w:szCs w:val="22"/>
              </w:rPr>
              <w:t>Labquest</w:t>
            </w:r>
            <w:proofErr w:type="spellEnd"/>
            <w:r w:rsidR="00EE3064">
              <w:rPr>
                <w:bCs/>
                <w:sz w:val="22"/>
                <w:szCs w:val="22"/>
              </w:rPr>
              <w:t xml:space="preserve">. Po ustálení teploty ho požiadam vsypať lyžičku soli do kadičky, zapnúť meranie, sondou miešať roztok a ostatných sledovať, čo sa s teplotou udeje. Spoločne vyhodnotíme, že sú reakcie, pri ktorých sa teplo uvoľňuje (teplota sa zvýši) a naopak, pri ktorých teplo treba dodať. </w:t>
            </w:r>
            <w:r>
              <w:rPr>
                <w:bCs/>
                <w:sz w:val="22"/>
                <w:szCs w:val="22"/>
              </w:rPr>
              <w:t>Uvediem im základné rozdiely medzi exotermickými a endotermickými reakciami a poviem pár príkladov.</w:t>
            </w:r>
          </w:p>
        </w:tc>
        <w:tc>
          <w:tcPr>
            <w:tcW w:w="3969" w:type="dxa"/>
          </w:tcPr>
          <w:p w14:paraId="60061E4C" w14:textId="69B83E44" w:rsidR="00860936" w:rsidRPr="00860936" w:rsidRDefault="00EE3064" w:rsidP="00283921">
            <w:pPr>
              <w:ind w:firstLine="0"/>
            </w:pPr>
            <w:r>
              <w:lastRenderedPageBreak/>
              <w:t xml:space="preserve">Rozpúšťanie </w:t>
            </w:r>
            <w:proofErr w:type="spellStart"/>
            <w:r>
              <w:t>NaOH</w:t>
            </w:r>
            <w:proofErr w:type="spellEnd"/>
            <w:r>
              <w:t xml:space="preserve"> vo vode</w:t>
            </w: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07862EE2" w:rsidR="00D96A11" w:rsidRDefault="008E3A52" w:rsidP="00C33574">
            <w:r>
              <w:lastRenderedPageBreak/>
              <w:t>12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21B2E204" w:rsidR="00BA3E6B" w:rsidRPr="001957A3" w:rsidRDefault="00860936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Na prehlbovanie a upevňovanie učiva im rozdám pracovné listy (Príloh</w:t>
            </w:r>
            <w:r w:rsidR="00EE3064">
              <w:rPr>
                <w:bCs/>
                <w:sz w:val="22"/>
                <w:szCs w:val="22"/>
              </w:rPr>
              <w:t xml:space="preserve">a č.7), kde budú mať sami určovať,  </w:t>
            </w:r>
            <w:r>
              <w:rPr>
                <w:bCs/>
                <w:sz w:val="22"/>
                <w:szCs w:val="22"/>
              </w:rPr>
              <w:t>či ide o </w:t>
            </w:r>
            <w:proofErr w:type="spellStart"/>
            <w:r>
              <w:rPr>
                <w:bCs/>
                <w:sz w:val="22"/>
                <w:szCs w:val="22"/>
              </w:rPr>
              <w:t>exo</w:t>
            </w:r>
            <w:proofErr w:type="spellEnd"/>
            <w:r>
              <w:rPr>
                <w:bCs/>
                <w:sz w:val="22"/>
                <w:szCs w:val="22"/>
              </w:rPr>
              <w:t xml:space="preserve"> alebo endotermickú reakciu.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517EE995" w:rsidR="00636C20" w:rsidRPr="008E3A52" w:rsidRDefault="00860936" w:rsidP="00860936">
            <w:pPr>
              <w:spacing w:before="0"/>
              <w:ind w:left="621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 w:rsidRPr="008E3A5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Za domácu úlohu im zadám </w:t>
            </w:r>
            <w:r w:rsidR="008E3A52" w:rsidRPr="008E3A52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pozrieť si poznámky z hodiny.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08C233C3" w:rsidR="00D96A11" w:rsidRDefault="00BA2257" w:rsidP="00283921">
            <w:pPr>
              <w:ind w:firstLine="0"/>
            </w:pPr>
            <w:r>
              <w:t xml:space="preserve">       </w:t>
            </w:r>
            <w:r w:rsidR="008E3A52">
              <w:t>1</w:t>
            </w:r>
            <w:r w:rsidR="00217408">
              <w:t xml:space="preserve"> min</w:t>
            </w:r>
          </w:p>
        </w:tc>
        <w:tc>
          <w:tcPr>
            <w:tcW w:w="9146" w:type="dxa"/>
          </w:tcPr>
          <w:p w14:paraId="7E557402" w14:textId="78C78369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EE306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7BDCE77" w:rsidR="00FB3EB4" w:rsidRPr="00FB3EB4" w:rsidRDefault="008E3A52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Na z</w:t>
            </w:r>
            <w:r w:rsidR="00EE3064">
              <w:t>áver žiakom poďakujem za hodinu a opýtam sa na najzaujímavejšie postrehy.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5D6481D0" w14:textId="2D45DD10" w:rsidR="00565E91" w:rsidRPr="00636C20" w:rsidRDefault="00636C20" w:rsidP="008E3A52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 w:rsidRPr="00636C20">
        <w:rPr>
          <w:bCs/>
        </w:rPr>
        <w:t>Príloha č.</w:t>
      </w:r>
      <w:r w:rsidR="008E3A52">
        <w:rPr>
          <w:bCs/>
        </w:rPr>
        <w:t>7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3462B184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940E893" w14:textId="23695091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A448725" w14:textId="52016052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9D90761" w14:textId="35FCC2B2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C5F1D1" w14:textId="10DABFE3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3001C97" w14:textId="26559E61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DA9BAB1" w14:textId="77777777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2F251BCE" w14:textId="3DA869B4" w:rsidR="00EE3064" w:rsidRDefault="00EE3064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2B390349" w:rsidR="00FD732C" w:rsidRPr="00EE3064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bookmarkStart w:id="0" w:name="_GoBack"/>
      <w:r w:rsidRPr="00EE3064">
        <w:rPr>
          <w:rFonts w:ascii="Calibri" w:hAnsi="Calibri"/>
          <w:b/>
          <w:sz w:val="20"/>
          <w:szCs w:val="20"/>
        </w:rPr>
        <w:t>Podpis cvičného učiteľa .........................</w:t>
      </w:r>
      <w:bookmarkEnd w:id="0"/>
    </w:p>
    <w:sectPr w:rsidR="00FD732C" w:rsidRPr="00EE3064" w:rsidSect="00EE3064">
      <w:pgSz w:w="16838" w:h="11906" w:orient="landscape"/>
      <w:pgMar w:top="1417" w:right="1417" w:bottom="993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2"/>
  </w:num>
  <w:num w:numId="10">
    <w:abstractNumId w:val="4"/>
  </w:num>
  <w:num w:numId="11">
    <w:abstractNumId w:val="22"/>
  </w:num>
  <w:num w:numId="12">
    <w:abstractNumId w:val="26"/>
  </w:num>
  <w:num w:numId="13">
    <w:abstractNumId w:val="23"/>
  </w:num>
  <w:num w:numId="14">
    <w:abstractNumId w:val="21"/>
  </w:num>
  <w:num w:numId="15">
    <w:abstractNumId w:val="14"/>
  </w:num>
  <w:num w:numId="16">
    <w:abstractNumId w:val="19"/>
  </w:num>
  <w:num w:numId="17">
    <w:abstractNumId w:val="31"/>
  </w:num>
  <w:num w:numId="18">
    <w:abstractNumId w:val="30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8"/>
  </w:num>
  <w:num w:numId="31">
    <w:abstractNumId w:val="29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B411C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578A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6F40F0"/>
    <w:rsid w:val="00725948"/>
    <w:rsid w:val="00751070"/>
    <w:rsid w:val="00791634"/>
    <w:rsid w:val="007F1D39"/>
    <w:rsid w:val="007F3F9E"/>
    <w:rsid w:val="008520D0"/>
    <w:rsid w:val="00855336"/>
    <w:rsid w:val="00856DC3"/>
    <w:rsid w:val="00860936"/>
    <w:rsid w:val="0086717F"/>
    <w:rsid w:val="008971D0"/>
    <w:rsid w:val="008B1342"/>
    <w:rsid w:val="008B2397"/>
    <w:rsid w:val="008E25AF"/>
    <w:rsid w:val="008E3A52"/>
    <w:rsid w:val="009062DA"/>
    <w:rsid w:val="009306E4"/>
    <w:rsid w:val="00931189"/>
    <w:rsid w:val="009545A8"/>
    <w:rsid w:val="00954E37"/>
    <w:rsid w:val="0096405A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EE306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4594-CE6A-4F76-B8D9-117C22CB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2022-09-09T14:32:00Z</dcterms:created>
  <dcterms:modified xsi:type="dcterms:W3CDTF">2023-03-18T19:27:00Z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