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D40621">
      <w:pPr>
        <w:pStyle w:val="Nzov"/>
        <w:jc w:val="center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1003A8">
        <w:t>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Default="0058437F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RNDr. Lenka </w:t>
            </w:r>
            <w:proofErr w:type="spellStart"/>
            <w:r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Default="00CE0870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 w:rsidR="00B219AB">
              <w:rPr>
                <w:b/>
                <w:bCs/>
              </w:rPr>
              <w:t>2014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Default="00B219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III.A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Default="00B219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Default="00D40621" w:rsidP="007054FE">
            <w:pPr>
              <w:rPr>
                <w:b/>
                <w:bCs/>
              </w:rPr>
            </w:pP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Default="0062698A" w:rsidP="00910449">
            <w:pPr>
              <w:rPr>
                <w:b/>
                <w:bCs/>
              </w:rPr>
            </w:pPr>
            <w:r>
              <w:rPr>
                <w:b/>
                <w:bCs/>
              </w:rPr>
              <w:t>Enzýmy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910449" w:rsidRDefault="0091044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910449">
              <w:rPr>
                <w:b/>
                <w:bCs/>
              </w:rPr>
              <w:t xml:space="preserve">oznať </w:t>
            </w:r>
            <w:r w:rsidR="00237A32">
              <w:rPr>
                <w:b/>
                <w:bCs/>
              </w:rPr>
              <w:t xml:space="preserve">a používať pojmy substrát, </w:t>
            </w:r>
            <w:proofErr w:type="spellStart"/>
            <w:r w:rsidR="00237A32">
              <w:rPr>
                <w:b/>
                <w:bCs/>
              </w:rPr>
              <w:t>koenzým</w:t>
            </w:r>
            <w:proofErr w:type="spellEnd"/>
            <w:r w:rsidR="00237A32">
              <w:rPr>
                <w:b/>
                <w:bCs/>
              </w:rPr>
              <w:t xml:space="preserve">, </w:t>
            </w:r>
            <w:proofErr w:type="spellStart"/>
            <w:r w:rsidR="00237A32">
              <w:rPr>
                <w:b/>
                <w:bCs/>
              </w:rPr>
              <w:t>apoenzým</w:t>
            </w:r>
            <w:proofErr w:type="spellEnd"/>
            <w:r w:rsidR="00237A32">
              <w:rPr>
                <w:b/>
                <w:bCs/>
              </w:rPr>
              <w:t xml:space="preserve">, aktívne miesto, </w:t>
            </w:r>
            <w:proofErr w:type="spellStart"/>
            <w:r w:rsidR="00237A32">
              <w:rPr>
                <w:b/>
                <w:bCs/>
              </w:rPr>
              <w:t>kofaktor</w:t>
            </w:r>
            <w:proofErr w:type="spellEnd"/>
            <w:r w:rsidR="00237A32">
              <w:rPr>
                <w:b/>
                <w:bCs/>
              </w:rPr>
              <w:t xml:space="preserve">, </w:t>
            </w:r>
            <w:proofErr w:type="spellStart"/>
            <w:r w:rsidR="00237A32">
              <w:rPr>
                <w:b/>
                <w:bCs/>
              </w:rPr>
              <w:t>biokatalyzátor</w:t>
            </w:r>
            <w:proofErr w:type="spellEnd"/>
          </w:p>
          <w:p w:rsidR="00910449" w:rsidRDefault="0091044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910449">
              <w:rPr>
                <w:b/>
                <w:bCs/>
              </w:rPr>
              <w:t xml:space="preserve">vysvetliť </w:t>
            </w:r>
            <w:r w:rsidR="00237A32">
              <w:rPr>
                <w:b/>
                <w:bCs/>
              </w:rPr>
              <w:t xml:space="preserve">chemickú podstatu, </w:t>
            </w:r>
            <w:proofErr w:type="spellStart"/>
            <w:r w:rsidR="00237A32">
              <w:rPr>
                <w:b/>
                <w:bCs/>
              </w:rPr>
              <w:t>špecifitu</w:t>
            </w:r>
            <w:proofErr w:type="spellEnd"/>
            <w:r w:rsidR="00237A32">
              <w:rPr>
                <w:b/>
                <w:bCs/>
              </w:rPr>
              <w:t xml:space="preserve"> a princíp pôsobenia enzýmov</w:t>
            </w:r>
            <w:r>
              <w:rPr>
                <w:b/>
                <w:bCs/>
              </w:rPr>
              <w:t>,</w:t>
            </w:r>
          </w:p>
          <w:p w:rsidR="00BC7654" w:rsidRPr="00910449" w:rsidRDefault="00237A32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poznať význam a uviesť príklady enzýmov z bežného života</w:t>
            </w:r>
            <w:r w:rsidR="00910449" w:rsidRPr="00910449">
              <w:rPr>
                <w:b/>
                <w:bCs/>
              </w:rPr>
              <w:t xml:space="preserve">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Default="00E7776F" w:rsidP="00E7776F">
            <w:pPr>
              <w:rPr>
                <w:b/>
                <w:bCs/>
              </w:rPr>
            </w:pPr>
            <w:r>
              <w:rPr>
                <w:b/>
                <w:bCs/>
              </w:rPr>
              <w:t>VH z</w:t>
            </w:r>
            <w:r w:rsidR="0058437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Default="0092624B" w:rsidP="00E777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Práca s interaktívnou </w:t>
            </w:r>
            <w:r w:rsidR="00E7776F">
              <w:rPr>
                <w:b/>
                <w:bCs/>
              </w:rPr>
              <w:t xml:space="preserve">prezentáciou a </w:t>
            </w:r>
            <w:r>
              <w:rPr>
                <w:b/>
                <w:bCs/>
              </w:rPr>
              <w:t>tabuľou, vysvetľovanie, metóda otázok a</w:t>
            </w:r>
            <w:r w:rsidR="00910449">
              <w:rPr>
                <w:b/>
                <w:bCs/>
              </w:rPr>
              <w:t> </w:t>
            </w:r>
            <w:r>
              <w:rPr>
                <w:b/>
                <w:bCs/>
              </w:rPr>
              <w:t>odpovedí</w:t>
            </w:r>
            <w:r w:rsidR="00910449">
              <w:rPr>
                <w:b/>
                <w:bCs/>
              </w:rPr>
              <w:t xml:space="preserve">, diskusia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Default="001F688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977586">
              <w:rPr>
                <w:b/>
                <w:bCs/>
              </w:rPr>
              <w:t>iológia, ekológia, informatika, fyzika,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9D1516" w:rsidRDefault="0092624B" w:rsidP="009D1516">
            <w:pPr>
              <w:rPr>
                <w:b/>
                <w:szCs w:val="20"/>
              </w:rPr>
            </w:pPr>
            <w:r>
              <w:rPr>
                <w:b/>
                <w:szCs w:val="18"/>
              </w:rPr>
              <w:t xml:space="preserve">Interaktívna prezentácia </w:t>
            </w:r>
          </w:p>
          <w:p w:rsidR="00D40621" w:rsidRDefault="0092624B" w:rsidP="009D1516">
            <w:pPr>
              <w:rPr>
                <w:b/>
                <w:bCs/>
              </w:rPr>
            </w:pPr>
            <w:r>
              <w:rPr>
                <w:b/>
                <w:szCs w:val="18"/>
              </w:rPr>
              <w:t xml:space="preserve">súbor </w:t>
            </w:r>
            <w:r w:rsidRPr="00E7776F">
              <w:rPr>
                <w:b/>
                <w:szCs w:val="18"/>
              </w:rPr>
              <w:t>GEL-ŠKA-CHE-IIIA</w:t>
            </w:r>
            <w:r w:rsidR="001869B7" w:rsidRPr="00E7776F">
              <w:rPr>
                <w:b/>
                <w:szCs w:val="18"/>
              </w:rPr>
              <w:t>-</w:t>
            </w:r>
          </w:p>
        </w:tc>
      </w:tr>
    </w:tbl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Default="00D40621" w:rsidP="007054FE">
            <w:pPr>
              <w:rPr>
                <w:b/>
                <w:bCs/>
              </w:rPr>
            </w:pP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516F34" w:rsidRPr="00343C71" w:rsidRDefault="00516F34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Pr="00343C71">
              <w:rPr>
                <w:color w:val="auto"/>
                <w:sz w:val="22"/>
                <w:szCs w:val="22"/>
              </w:rPr>
              <w:t>a</w:t>
            </w:r>
            <w:r w:rsidRPr="00343C71">
              <w:rPr>
                <w:color w:val="auto"/>
                <w:sz w:val="20"/>
                <w:szCs w:val="22"/>
              </w:rPr>
              <w:t>dministratívne záležitosti VH</w:t>
            </w:r>
          </w:p>
          <w:p w:rsidR="00516F34" w:rsidRPr="00E7776F" w:rsidRDefault="00516F34" w:rsidP="00E7776F">
            <w:pPr>
              <w:rPr>
                <w:rFonts w:ascii="Times New Roman" w:hAnsi="Times New Roman" w:cs="Times New Roman"/>
                <w:sz w:val="20"/>
              </w:rPr>
            </w:pPr>
            <w:r w:rsidRPr="00E7776F"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E7776F" w:rsidRPr="00E7776F">
              <w:rPr>
                <w:rFonts w:ascii="Times New Roman" w:hAnsi="Times New Roman" w:cs="Times New Roman"/>
                <w:sz w:val="20"/>
              </w:rPr>
              <w:t>sprístupn</w:t>
            </w:r>
            <w:r w:rsidRPr="00E7776F">
              <w:rPr>
                <w:rFonts w:ascii="Times New Roman" w:hAnsi="Times New Roman" w:cs="Times New Roman"/>
                <w:sz w:val="20"/>
              </w:rPr>
              <w:t xml:space="preserve">í tému a cieľ VH </w:t>
            </w:r>
            <w:r w:rsidR="00E7776F" w:rsidRPr="00E7776F">
              <w:rPr>
                <w:rFonts w:ascii="Times New Roman" w:hAnsi="Times New Roman" w:cs="Times New Roman"/>
                <w:sz w:val="20"/>
              </w:rPr>
              <w:t xml:space="preserve">obrázkom </w:t>
            </w:r>
            <w:proofErr w:type="spellStart"/>
            <w:r w:rsidR="00E7776F" w:rsidRPr="00E7776F">
              <w:rPr>
                <w:rFonts w:ascii="Times New Roman" w:hAnsi="Times New Roman" w:cs="Times New Roman"/>
                <w:sz w:val="20"/>
              </w:rPr>
              <w:t>gorálok</w:t>
            </w:r>
            <w:proofErr w:type="spellEnd"/>
            <w:r w:rsidR="00E7776F" w:rsidRPr="00E7776F">
              <w:rPr>
                <w:rFonts w:ascii="Times New Roman" w:hAnsi="Times New Roman" w:cs="Times New Roman"/>
                <w:sz w:val="20"/>
              </w:rPr>
              <w:t xml:space="preserve"> v interaktívnej prezentácii </w:t>
            </w:r>
          </w:p>
          <w:p w:rsidR="00516F34" w:rsidRPr="00E3758C" w:rsidRDefault="00516F34" w:rsidP="00516F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C71">
              <w:rPr>
                <w:sz w:val="20"/>
              </w:rPr>
              <w:t xml:space="preserve">- </w:t>
            </w:r>
            <w:r w:rsidRPr="00E3758C">
              <w:rPr>
                <w:rFonts w:ascii="Times New Roman" w:hAnsi="Times New Roman" w:cs="Times New Roman"/>
                <w:sz w:val="20"/>
              </w:rPr>
              <w:t xml:space="preserve">pracuje s interaktívnou prezentáciou na interaktívnej tabuli súbor </w:t>
            </w:r>
            <w:r w:rsidR="00E7776F" w:rsidRPr="00E7776F">
              <w:rPr>
                <w:sz w:val="20"/>
                <w:szCs w:val="20"/>
              </w:rPr>
              <w:t>Aminokyseliny – chemické vlastnosti, esenciálne AMK</w:t>
            </w:r>
            <w:r w:rsidR="00E7776F" w:rsidRPr="00E7776F">
              <w:rPr>
                <w:rFonts w:ascii="Times New Roman" w:hAnsi="Times New Roman" w:cs="Times New Roman"/>
                <w:sz w:val="20"/>
                <w:szCs w:val="18"/>
              </w:rPr>
              <w:t xml:space="preserve"> - </w:t>
            </w:r>
            <w:r w:rsidRPr="00E7776F">
              <w:rPr>
                <w:rFonts w:ascii="Times New Roman" w:hAnsi="Times New Roman" w:cs="Times New Roman"/>
                <w:sz w:val="20"/>
                <w:szCs w:val="18"/>
              </w:rPr>
              <w:t>súbor</w:t>
            </w:r>
            <w:r w:rsidRPr="00E7776F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18"/>
              </w:rPr>
              <w:t>GEL-ŠKA-CHE-</w:t>
            </w:r>
            <w:r w:rsidRPr="00E3758C">
              <w:rPr>
                <w:rFonts w:ascii="Times New Roman" w:hAnsi="Times New Roman" w:cs="Times New Roman"/>
                <w:b/>
                <w:szCs w:val="18"/>
              </w:rPr>
              <w:t>III</w:t>
            </w:r>
            <w:r>
              <w:rPr>
                <w:rFonts w:ascii="Times New Roman" w:hAnsi="Times New Roman" w:cs="Times New Roman"/>
                <w:b/>
                <w:szCs w:val="18"/>
              </w:rPr>
              <w:t>A</w:t>
            </w:r>
            <w:r w:rsidRPr="00E3758C">
              <w:rPr>
                <w:rFonts w:ascii="Times New Roman" w:hAnsi="Times New Roman" w:cs="Times New Roman"/>
                <w:b/>
                <w:szCs w:val="18"/>
              </w:rPr>
              <w:t>-</w:t>
            </w:r>
            <w:r>
              <w:rPr>
                <w:rFonts w:ascii="Times New Roman" w:hAnsi="Times New Roman" w:cs="Times New Roman"/>
                <w:b/>
                <w:szCs w:val="18"/>
              </w:rPr>
              <w:t>3</w:t>
            </w:r>
            <w:r w:rsidR="00E7776F">
              <w:rPr>
                <w:rFonts w:ascii="Times New Roman" w:hAnsi="Times New Roman" w:cs="Times New Roman"/>
                <w:b/>
                <w:szCs w:val="18"/>
              </w:rPr>
              <w:t>9</w:t>
            </w:r>
            <w:r w:rsidRPr="00E3758C">
              <w:rPr>
                <w:rFonts w:ascii="Times New Roman" w:hAnsi="Times New Roman" w:cs="Times New Roman"/>
                <w:b/>
                <w:szCs w:val="18"/>
              </w:rPr>
              <w:t xml:space="preserve"> </w:t>
            </w:r>
          </w:p>
          <w:p w:rsidR="001C0D29" w:rsidRDefault="00516F34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-vysvetľuje ich </w:t>
            </w:r>
            <w:r w:rsidR="001C0D29">
              <w:rPr>
                <w:color w:val="auto"/>
                <w:sz w:val="20"/>
                <w:szCs w:val="22"/>
              </w:rPr>
              <w:t>zloženie, funkčné skupiny, ich delenie názorne podľa prezentácie</w:t>
            </w:r>
          </w:p>
          <w:p w:rsidR="00516F34" w:rsidRPr="00343C71" w:rsidRDefault="00516F34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>- vyzýva žiakov na prácu s úlohami v interaktívnej prezentácii k interaktívnej tabuli</w:t>
            </w:r>
          </w:p>
          <w:p w:rsidR="00516F34" w:rsidRDefault="00516F34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>- koriguje a usmerňuje prácu žiako</w:t>
            </w:r>
            <w:r>
              <w:rPr>
                <w:color w:val="auto"/>
                <w:sz w:val="20"/>
                <w:szCs w:val="22"/>
              </w:rPr>
              <w:t>v</w:t>
            </w:r>
          </w:p>
          <w:p w:rsidR="001C0D29" w:rsidRDefault="001C0D29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pýta sa na princíp optickej aktivity z minulých hodín</w:t>
            </w:r>
          </w:p>
          <w:p w:rsidR="001C0D29" w:rsidRDefault="00516F34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vysvetľuje </w:t>
            </w:r>
            <w:r w:rsidR="001C0D29">
              <w:rPr>
                <w:color w:val="auto"/>
                <w:sz w:val="20"/>
                <w:szCs w:val="22"/>
              </w:rPr>
              <w:t>názvoslovie AMK a názorne pomocou vzorcov prezentuje jednotlivé AMK – upozorní na esenciálne</w:t>
            </w:r>
          </w:p>
          <w:p w:rsidR="00516F34" w:rsidRDefault="00516F34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</w:t>
            </w:r>
            <w:r w:rsidR="001C0D29">
              <w:rPr>
                <w:color w:val="auto"/>
                <w:sz w:val="20"/>
                <w:szCs w:val="22"/>
              </w:rPr>
              <w:t>prezent</w:t>
            </w:r>
            <w:r>
              <w:rPr>
                <w:color w:val="auto"/>
                <w:sz w:val="20"/>
                <w:szCs w:val="22"/>
              </w:rPr>
              <w:t xml:space="preserve">uje </w:t>
            </w:r>
            <w:r w:rsidR="001C0D29">
              <w:rPr>
                <w:color w:val="auto"/>
                <w:sz w:val="20"/>
                <w:szCs w:val="22"/>
              </w:rPr>
              <w:t xml:space="preserve">zaujímavosti o AMK </w:t>
            </w:r>
            <w:r>
              <w:rPr>
                <w:color w:val="auto"/>
                <w:sz w:val="20"/>
                <w:szCs w:val="22"/>
              </w:rPr>
              <w:t xml:space="preserve"> </w:t>
            </w:r>
          </w:p>
          <w:p w:rsidR="00516F34" w:rsidRDefault="00516F34" w:rsidP="00516F34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1C0D29" w:rsidRDefault="001C0D29" w:rsidP="00516F3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navodí diskusiu o zdrojoch esenciálnych AMK podľa obrázka potravovej pyramídy</w:t>
            </w:r>
          </w:p>
          <w:p w:rsidR="001C0D29" w:rsidRDefault="001C0D29" w:rsidP="00516F34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1C0D29" w:rsidRDefault="00516F34" w:rsidP="00516F34">
            <w:pPr>
              <w:pStyle w:val="Default"/>
              <w:jc w:val="both"/>
              <w:rPr>
                <w:sz w:val="20"/>
                <w:szCs w:val="20"/>
              </w:rPr>
            </w:pPr>
            <w:r w:rsidRPr="00B72735">
              <w:rPr>
                <w:sz w:val="20"/>
                <w:szCs w:val="20"/>
              </w:rPr>
              <w:t>-vysvetľuje chemick</w:t>
            </w:r>
            <w:r w:rsidR="001C0D29">
              <w:rPr>
                <w:sz w:val="20"/>
                <w:szCs w:val="20"/>
              </w:rPr>
              <w:t xml:space="preserve">é reakcie a </w:t>
            </w:r>
            <w:r w:rsidRPr="00B727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priebeh </w:t>
            </w:r>
            <w:r w:rsidR="001C0D29">
              <w:rPr>
                <w:sz w:val="20"/>
                <w:szCs w:val="20"/>
              </w:rPr>
              <w:t xml:space="preserve">vzniku </w:t>
            </w:r>
            <w:proofErr w:type="spellStart"/>
            <w:r w:rsidR="001C0D29">
              <w:rPr>
                <w:sz w:val="20"/>
                <w:szCs w:val="20"/>
              </w:rPr>
              <w:t>peptidovej</w:t>
            </w:r>
            <w:proofErr w:type="spellEnd"/>
            <w:r w:rsidR="001C0D29">
              <w:rPr>
                <w:sz w:val="20"/>
                <w:szCs w:val="20"/>
              </w:rPr>
              <w:t xml:space="preserve"> väzby</w:t>
            </w:r>
          </w:p>
          <w:p w:rsidR="001C0D29" w:rsidRDefault="001C0D29" w:rsidP="00516F34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1C0D29" w:rsidRDefault="001C0D29" w:rsidP="00516F3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vyzve žiaka dobrovoľníka pre spojenie prvých dvoch AMK k interaktívnej tabuli</w:t>
            </w:r>
          </w:p>
          <w:p w:rsidR="001C0D29" w:rsidRDefault="001C0D29" w:rsidP="00516F34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1C0D29" w:rsidRDefault="001C0D29" w:rsidP="001C0D29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-vysvetlí pomocou vzorcov v prezentácii </w:t>
            </w:r>
            <w:proofErr w:type="spellStart"/>
            <w:r>
              <w:rPr>
                <w:sz w:val="20"/>
                <w:szCs w:val="20"/>
              </w:rPr>
              <w:t>disociáciu</w:t>
            </w:r>
            <w:proofErr w:type="spellEnd"/>
            <w:r>
              <w:rPr>
                <w:sz w:val="20"/>
                <w:szCs w:val="20"/>
              </w:rPr>
              <w:t xml:space="preserve"> AMK</w:t>
            </w:r>
          </w:p>
          <w:p w:rsidR="00516F34" w:rsidRDefault="001C0D29" w:rsidP="001C0D29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</w:t>
            </w:r>
          </w:p>
          <w:p w:rsidR="00516F34" w:rsidRDefault="00516F34" w:rsidP="00516F34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516F34" w:rsidRPr="00B72735" w:rsidRDefault="00516F34" w:rsidP="00516F34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B72735">
              <w:rPr>
                <w:color w:val="auto"/>
                <w:sz w:val="20"/>
                <w:szCs w:val="20"/>
              </w:rPr>
              <w:t xml:space="preserve">vyzve žiakov na </w:t>
            </w:r>
            <w:r>
              <w:rPr>
                <w:color w:val="auto"/>
                <w:sz w:val="20"/>
                <w:szCs w:val="20"/>
              </w:rPr>
              <w:t xml:space="preserve">skupinové opakovanie </w:t>
            </w:r>
            <w:r w:rsidRPr="00B72735">
              <w:rPr>
                <w:color w:val="auto"/>
                <w:sz w:val="20"/>
                <w:szCs w:val="20"/>
              </w:rPr>
              <w:t xml:space="preserve"> prebraného učiva </w:t>
            </w:r>
          </w:p>
          <w:p w:rsidR="00516F34" w:rsidRDefault="00516F34" w:rsidP="00516F34">
            <w:pPr>
              <w:rPr>
                <w:sz w:val="20"/>
                <w:szCs w:val="20"/>
              </w:rPr>
            </w:pPr>
          </w:p>
          <w:p w:rsidR="00D40621" w:rsidRDefault="00516F34" w:rsidP="00516F34">
            <w:pPr>
              <w:rPr>
                <w:b/>
                <w:bCs/>
              </w:rPr>
            </w:pPr>
            <w:r w:rsidRPr="00B72735">
              <w:rPr>
                <w:sz w:val="20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Default="00E7776F" w:rsidP="00E7776F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E7776F" w:rsidRDefault="00E7776F" w:rsidP="00E7776F">
            <w:pPr>
              <w:rPr>
                <w:rFonts w:ascii="Times New Roman" w:hAnsi="Times New Roman" w:cs="Times New Roman"/>
                <w:sz w:val="20"/>
              </w:rPr>
            </w:pPr>
            <w:r w:rsidRPr="008A3D4E">
              <w:rPr>
                <w:rFonts w:ascii="Times New Roman" w:hAnsi="Times New Roman" w:cs="Times New Roman"/>
                <w:sz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</w:rPr>
              <w:t>ústne odpovedá vyzvaný žiak pri tabuli</w:t>
            </w: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E7776F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1C0D29" w:rsidRDefault="001C0D29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1C0D29" w:rsidRDefault="001C0D29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E7776F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ab/>
            </w:r>
          </w:p>
          <w:p w:rsidR="00E7776F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počúvajú a píšu si poznámky do zošita</w:t>
            </w:r>
          </w:p>
          <w:p w:rsidR="001C0D29" w:rsidRDefault="001C0D29" w:rsidP="001C0D29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A35F70">
              <w:rPr>
                <w:bCs/>
                <w:sz w:val="20"/>
              </w:rPr>
              <w:t xml:space="preserve">pozorne sledujú </w:t>
            </w:r>
            <w:r>
              <w:rPr>
                <w:bCs/>
                <w:sz w:val="20"/>
              </w:rPr>
              <w:t>vysvetlenie</w:t>
            </w:r>
            <w:r w:rsidRPr="00A35F70">
              <w:rPr>
                <w:bCs/>
                <w:sz w:val="20"/>
              </w:rPr>
              <w:t xml:space="preserve"> učiteľa, prípadne sa pýtajú na nejasnosti</w:t>
            </w: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vyzvaní žiaci riešia interaktívne cvičenia v predvádzacom liste na interaktívnej tabuli </w:t>
            </w: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počúvajú a píšu si poznámky do zošita</w:t>
            </w: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A35F70">
              <w:rPr>
                <w:bCs/>
                <w:sz w:val="20"/>
              </w:rPr>
              <w:t xml:space="preserve">pozorne sledujú </w:t>
            </w:r>
            <w:r>
              <w:rPr>
                <w:bCs/>
                <w:sz w:val="20"/>
              </w:rPr>
              <w:t>vysvetlenie</w:t>
            </w:r>
            <w:r w:rsidRPr="00A35F70">
              <w:rPr>
                <w:bCs/>
                <w:sz w:val="20"/>
              </w:rPr>
              <w:t xml:space="preserve"> učiteľa, prípadne sa pýtajú na nejasnosti</w:t>
            </w: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1C0D29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diskutujú o</w:t>
            </w:r>
            <w:r w:rsidR="001C0D29">
              <w:rPr>
                <w:color w:val="auto"/>
                <w:sz w:val="20"/>
                <w:szCs w:val="22"/>
              </w:rPr>
              <w:t> esenciálnych AMK a vyberajú a krúžkujú na interaktívnej tabuli z obrázka potraviny, ktoré sú ich zdrojom</w:t>
            </w:r>
          </w:p>
          <w:p w:rsidR="001C0D29" w:rsidRDefault="001C0D29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1C0D29" w:rsidRDefault="001C0D29" w:rsidP="001C0D29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počúvajú a píšu si poznámky do zošita</w:t>
            </w:r>
          </w:p>
          <w:p w:rsidR="00E7776F" w:rsidRDefault="001C0D29" w:rsidP="001C0D29">
            <w:pPr>
              <w:pStyle w:val="Default"/>
              <w:jc w:val="both"/>
              <w:rPr>
                <w:bCs/>
                <w:sz w:val="20"/>
              </w:rPr>
            </w:pPr>
            <w:r w:rsidRPr="00A35F70">
              <w:rPr>
                <w:bCs/>
                <w:sz w:val="20"/>
              </w:rPr>
              <w:t xml:space="preserve">pozorne sledujú </w:t>
            </w:r>
            <w:r>
              <w:rPr>
                <w:bCs/>
                <w:sz w:val="20"/>
              </w:rPr>
              <w:t>vysvetlenie</w:t>
            </w:r>
            <w:r w:rsidRPr="00A35F70">
              <w:rPr>
                <w:bCs/>
                <w:sz w:val="20"/>
              </w:rPr>
              <w:t xml:space="preserve"> učiteľa, prípadne sa pýtajú na nejasnost</w:t>
            </w:r>
            <w:r>
              <w:rPr>
                <w:bCs/>
                <w:sz w:val="20"/>
              </w:rPr>
              <w:t>i</w:t>
            </w:r>
          </w:p>
          <w:p w:rsidR="001C0D29" w:rsidRDefault="001C0D29" w:rsidP="001C0D29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bCs/>
                <w:sz w:val="20"/>
              </w:rPr>
              <w:t xml:space="preserve">-dobrovoľník s pomocou učiteľa vytvorí </w:t>
            </w:r>
            <w:proofErr w:type="spellStart"/>
            <w:r>
              <w:rPr>
                <w:bCs/>
                <w:sz w:val="20"/>
              </w:rPr>
              <w:t>dipeptid</w:t>
            </w:r>
            <w:proofErr w:type="spellEnd"/>
            <w:r>
              <w:rPr>
                <w:bCs/>
                <w:sz w:val="20"/>
              </w:rPr>
              <w:t xml:space="preserve"> na interaktívnej tabuli </w:t>
            </w:r>
          </w:p>
          <w:p w:rsidR="00E7776F" w:rsidRDefault="001C0D29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</w:t>
            </w:r>
          </w:p>
          <w:p w:rsidR="001C0D29" w:rsidRDefault="001C0D29" w:rsidP="00E7776F">
            <w:pPr>
              <w:rPr>
                <w:rFonts w:ascii="Times New Roman" w:hAnsi="Times New Roman" w:cs="Times New Roman"/>
                <w:sz w:val="20"/>
              </w:rPr>
            </w:pPr>
          </w:p>
          <w:p w:rsidR="001C0D29" w:rsidRDefault="001C0D29" w:rsidP="00E7776F">
            <w:pPr>
              <w:rPr>
                <w:rFonts w:ascii="Times New Roman" w:hAnsi="Times New Roman" w:cs="Times New Roman"/>
                <w:sz w:val="20"/>
              </w:rPr>
            </w:pPr>
          </w:p>
          <w:p w:rsidR="00D40621" w:rsidRDefault="00E7776F" w:rsidP="00E7776F">
            <w:pPr>
              <w:rPr>
                <w:b/>
                <w:bCs/>
              </w:rPr>
            </w:pPr>
            <w:r w:rsidRPr="008A3D4E">
              <w:rPr>
                <w:rFonts w:ascii="Times New Roman" w:hAnsi="Times New Roman" w:cs="Times New Roman"/>
                <w:sz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067298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edukačného programu: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opakovanie </w:t>
            </w:r>
            <w:r>
              <w:rPr>
                <w:sz w:val="22"/>
                <w:szCs w:val="22"/>
              </w:rPr>
              <w:t xml:space="preserve">formou </w:t>
            </w:r>
            <w:proofErr w:type="spellStart"/>
            <w:r>
              <w:rPr>
                <w:sz w:val="22"/>
                <w:szCs w:val="22"/>
              </w:rPr>
              <w:t>brainstormingu</w:t>
            </w:r>
            <w:proofErr w:type="spellEnd"/>
            <w:r>
              <w:rPr>
                <w:sz w:val="22"/>
                <w:szCs w:val="22"/>
              </w:rPr>
              <w:t xml:space="preserve"> a </w:t>
            </w:r>
            <w:proofErr w:type="spellStart"/>
            <w:r w:rsidR="00516F34">
              <w:rPr>
                <w:sz w:val="22"/>
                <w:szCs w:val="22"/>
              </w:rPr>
              <w:t>päť</w:t>
            </w:r>
            <w:r>
              <w:rPr>
                <w:sz w:val="22"/>
                <w:szCs w:val="22"/>
              </w:rPr>
              <w:t>veršia</w:t>
            </w:r>
            <w:proofErr w:type="spellEnd"/>
            <w:r>
              <w:rPr>
                <w:sz w:val="22"/>
                <w:szCs w:val="22"/>
              </w:rPr>
              <w:t xml:space="preserve"> na interaktívnej tabuli.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2. Sprístupnenie témy a cieľa VH </w:t>
            </w:r>
            <w:r>
              <w:rPr>
                <w:sz w:val="22"/>
                <w:szCs w:val="22"/>
              </w:rPr>
              <w:t>–</w:t>
            </w:r>
            <w:r w:rsidRPr="008061A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alkalické kovy.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067298" w:rsidRPr="008A3D4E" w:rsidRDefault="00067298" w:rsidP="0006729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061AE">
              <w:rPr>
                <w:sz w:val="22"/>
                <w:szCs w:val="22"/>
              </w:rPr>
              <w:t>1. Frontáln</w:t>
            </w:r>
            <w:r>
              <w:rPr>
                <w:sz w:val="22"/>
                <w:szCs w:val="22"/>
              </w:rPr>
              <w:t>a di</w:t>
            </w:r>
            <w:r w:rsidRPr="008061AE">
              <w:rPr>
                <w:sz w:val="22"/>
                <w:szCs w:val="22"/>
              </w:rPr>
              <w:t xml:space="preserve">skusia žiakov pri vypĺňaní </w:t>
            </w:r>
            <w:r>
              <w:rPr>
                <w:sz w:val="22"/>
                <w:szCs w:val="22"/>
              </w:rPr>
              <w:t>interaktívnej prezentácie</w:t>
            </w:r>
            <w:r w:rsidRPr="008061AE">
              <w:rPr>
                <w:sz w:val="22"/>
                <w:szCs w:val="22"/>
              </w:rPr>
              <w:t xml:space="preserve"> súbor </w:t>
            </w:r>
            <w:r w:rsidRPr="00201908">
              <w:rPr>
                <w:b/>
                <w:sz w:val="20"/>
                <w:szCs w:val="18"/>
              </w:rPr>
              <w:t>GEL-ŠKA-CHE-IVA-22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– individuálne vypĺňanie </w:t>
            </w:r>
            <w:r>
              <w:rPr>
                <w:sz w:val="22"/>
                <w:szCs w:val="22"/>
              </w:rPr>
              <w:t>predvádzacieho zošita, práca s úlohami</w:t>
            </w:r>
            <w:r w:rsidRPr="008061AE">
              <w:rPr>
                <w:sz w:val="22"/>
                <w:szCs w:val="22"/>
              </w:rPr>
              <w:t xml:space="preserve">. 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2. Vysvetlenie a osvojenie </w:t>
            </w:r>
            <w:r>
              <w:rPr>
                <w:sz w:val="22"/>
                <w:szCs w:val="22"/>
              </w:rPr>
              <w:t>chemických a fyzikálnych vlastností alkalických kovov</w:t>
            </w:r>
            <w:r w:rsidRPr="008061AE">
              <w:rPr>
                <w:sz w:val="22"/>
                <w:szCs w:val="22"/>
              </w:rPr>
              <w:t>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>Práca žiakov na riešení úloh v predvádzacom zošite pomocou interaktívnej tabule</w:t>
            </w:r>
            <w:r w:rsidRPr="008061AE">
              <w:rPr>
                <w:sz w:val="22"/>
                <w:szCs w:val="22"/>
              </w:rPr>
              <w:t>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4. Vysvetlenie </w:t>
            </w:r>
            <w:r>
              <w:rPr>
                <w:sz w:val="22"/>
                <w:szCs w:val="22"/>
              </w:rPr>
              <w:t>chemických reakcií a ich priebehu pomocou videa.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5. </w:t>
            </w:r>
            <w:r>
              <w:rPr>
                <w:sz w:val="22"/>
                <w:szCs w:val="22"/>
              </w:rPr>
              <w:t>Riešenie</w:t>
            </w:r>
            <w:r w:rsidRPr="008061A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úloh </w:t>
            </w:r>
            <w:r w:rsidRPr="008061AE">
              <w:rPr>
                <w:sz w:val="22"/>
                <w:szCs w:val="22"/>
              </w:rPr>
              <w:t>na interaktívnej tabuli.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516F34" w:rsidRDefault="00067298" w:rsidP="00516F3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1. Precvičenie osvojen</w:t>
            </w:r>
            <w:r>
              <w:rPr>
                <w:sz w:val="22"/>
                <w:szCs w:val="22"/>
              </w:rPr>
              <w:t>ého</w:t>
            </w:r>
            <w:r w:rsidRPr="008061AE">
              <w:rPr>
                <w:sz w:val="22"/>
                <w:szCs w:val="22"/>
              </w:rPr>
              <w:t xml:space="preserve"> učiva </w:t>
            </w:r>
            <w:r>
              <w:rPr>
                <w:sz w:val="22"/>
                <w:szCs w:val="22"/>
              </w:rPr>
              <w:t>riešením úloh na interaktívnej tabuli</w:t>
            </w:r>
            <w:r w:rsidRPr="008061AE">
              <w:rPr>
                <w:sz w:val="22"/>
                <w:szCs w:val="22"/>
              </w:rPr>
              <w:t>.</w:t>
            </w:r>
          </w:p>
          <w:p w:rsidR="00D40621" w:rsidRPr="00516F34" w:rsidRDefault="00516F34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t xml:space="preserve">2. </w:t>
            </w:r>
            <w:r w:rsidR="00067298" w:rsidRPr="00F019F6">
              <w:t>Záver VH</w:t>
            </w:r>
          </w:p>
        </w:tc>
      </w:tr>
    </w:tbl>
    <w:p w:rsidR="00D40621" w:rsidRDefault="00D40621" w:rsidP="00D40621"/>
    <w:p w:rsidR="00E3681B" w:rsidRDefault="00CA3EFB" w:rsidP="00D40621">
      <w:r>
        <w:t xml:space="preserve">V Gelnici dňa </w:t>
      </w:r>
      <w:r>
        <w:tab/>
        <w:t>......9.12.2014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EE6DD3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EE6DD3" w:rsidRPr="00954CBD">
      <w:rPr>
        <w:rFonts w:asciiTheme="minorHAnsi" w:hAnsiTheme="minorHAnsi" w:cstheme="minorHAnsi"/>
        <w:sz w:val="16"/>
      </w:rPr>
      <w:fldChar w:fldCharType="separate"/>
    </w:r>
    <w:r w:rsidR="00065E9F">
      <w:rPr>
        <w:rFonts w:asciiTheme="minorHAnsi" w:hAnsiTheme="minorHAnsi" w:cstheme="minorHAnsi"/>
        <w:noProof/>
        <w:sz w:val="16"/>
      </w:rPr>
      <w:t>1</w:t>
    </w:r>
    <w:r w:rsidR="00EE6DD3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065E9F" w:rsidRPr="00065E9F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bookmarkStart w:id="0" w:name="_GoBack"/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7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0"/>
  </w:num>
  <w:num w:numId="3">
    <w:abstractNumId w:val="2"/>
  </w:num>
  <w:num w:numId="4">
    <w:abstractNumId w:val="13"/>
  </w:num>
  <w:num w:numId="5">
    <w:abstractNumId w:val="14"/>
  </w:num>
  <w:num w:numId="6">
    <w:abstractNumId w:val="19"/>
  </w:num>
  <w:num w:numId="7">
    <w:abstractNumId w:val="12"/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17"/>
  </w:num>
  <w:num w:numId="12">
    <w:abstractNumId w:val="16"/>
  </w:num>
  <w:num w:numId="13">
    <w:abstractNumId w:val="9"/>
  </w:num>
  <w:num w:numId="14">
    <w:abstractNumId w:val="21"/>
  </w:num>
  <w:num w:numId="15">
    <w:abstractNumId w:val="11"/>
  </w:num>
  <w:num w:numId="16">
    <w:abstractNumId w:val="18"/>
  </w:num>
  <w:num w:numId="17">
    <w:abstractNumId w:val="7"/>
  </w:num>
  <w:num w:numId="18">
    <w:abstractNumId w:val="3"/>
  </w:num>
  <w:num w:numId="19">
    <w:abstractNumId w:val="22"/>
  </w:num>
  <w:num w:numId="20">
    <w:abstractNumId w:val="0"/>
  </w:num>
  <w:num w:numId="21">
    <w:abstractNumId w:val="22"/>
  </w:num>
  <w:num w:numId="22">
    <w:abstractNumId w:val="10"/>
  </w:num>
  <w:num w:numId="23">
    <w:abstractNumId w:val="1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65E9F"/>
    <w:rsid w:val="000664AF"/>
    <w:rsid w:val="00067298"/>
    <w:rsid w:val="000853E2"/>
    <w:rsid w:val="00092AEF"/>
    <w:rsid w:val="000B25F5"/>
    <w:rsid w:val="000B43C1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7235"/>
    <w:rsid w:val="00162D8E"/>
    <w:rsid w:val="001869B7"/>
    <w:rsid w:val="001B524B"/>
    <w:rsid w:val="001C007C"/>
    <w:rsid w:val="001C0D29"/>
    <w:rsid w:val="001C4C76"/>
    <w:rsid w:val="001F6887"/>
    <w:rsid w:val="00206764"/>
    <w:rsid w:val="00237A32"/>
    <w:rsid w:val="00253EE6"/>
    <w:rsid w:val="00260900"/>
    <w:rsid w:val="002674A6"/>
    <w:rsid w:val="002855EB"/>
    <w:rsid w:val="002C3CBB"/>
    <w:rsid w:val="002C4D33"/>
    <w:rsid w:val="002C6163"/>
    <w:rsid w:val="002D52F5"/>
    <w:rsid w:val="003055FB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16F34"/>
    <w:rsid w:val="00523B57"/>
    <w:rsid w:val="0052787A"/>
    <w:rsid w:val="00541228"/>
    <w:rsid w:val="0054242F"/>
    <w:rsid w:val="00546DA4"/>
    <w:rsid w:val="0057750A"/>
    <w:rsid w:val="0058437F"/>
    <w:rsid w:val="0059411D"/>
    <w:rsid w:val="005969D9"/>
    <w:rsid w:val="005B5FA8"/>
    <w:rsid w:val="005D5571"/>
    <w:rsid w:val="0060128E"/>
    <w:rsid w:val="00620081"/>
    <w:rsid w:val="0062698A"/>
    <w:rsid w:val="0063019F"/>
    <w:rsid w:val="00641E6E"/>
    <w:rsid w:val="00654F84"/>
    <w:rsid w:val="00666BAC"/>
    <w:rsid w:val="006737B9"/>
    <w:rsid w:val="006D33E7"/>
    <w:rsid w:val="006E67CE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810BD"/>
    <w:rsid w:val="007B5E04"/>
    <w:rsid w:val="007C367F"/>
    <w:rsid w:val="007D26B7"/>
    <w:rsid w:val="007F11EA"/>
    <w:rsid w:val="00810FAF"/>
    <w:rsid w:val="00815C26"/>
    <w:rsid w:val="008512D6"/>
    <w:rsid w:val="008978EF"/>
    <w:rsid w:val="008A34D2"/>
    <w:rsid w:val="008E63F1"/>
    <w:rsid w:val="009044E3"/>
    <w:rsid w:val="00910449"/>
    <w:rsid w:val="009108DD"/>
    <w:rsid w:val="009260F6"/>
    <w:rsid w:val="0092624B"/>
    <w:rsid w:val="00932CEC"/>
    <w:rsid w:val="00936324"/>
    <w:rsid w:val="00946694"/>
    <w:rsid w:val="00954CBD"/>
    <w:rsid w:val="0096182B"/>
    <w:rsid w:val="00977586"/>
    <w:rsid w:val="009A2F37"/>
    <w:rsid w:val="009A4995"/>
    <w:rsid w:val="009C0E59"/>
    <w:rsid w:val="009D1516"/>
    <w:rsid w:val="009D695A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B4222"/>
    <w:rsid w:val="00AC6A30"/>
    <w:rsid w:val="00AE1209"/>
    <w:rsid w:val="00AE4173"/>
    <w:rsid w:val="00B01561"/>
    <w:rsid w:val="00B02B77"/>
    <w:rsid w:val="00B20307"/>
    <w:rsid w:val="00B219AB"/>
    <w:rsid w:val="00B36EF5"/>
    <w:rsid w:val="00B567B1"/>
    <w:rsid w:val="00B72DDD"/>
    <w:rsid w:val="00B80F2C"/>
    <w:rsid w:val="00B94D4A"/>
    <w:rsid w:val="00BC7654"/>
    <w:rsid w:val="00BF056E"/>
    <w:rsid w:val="00BF5F8A"/>
    <w:rsid w:val="00C02116"/>
    <w:rsid w:val="00C43F66"/>
    <w:rsid w:val="00C70293"/>
    <w:rsid w:val="00C82DE6"/>
    <w:rsid w:val="00CA3EFB"/>
    <w:rsid w:val="00CC3B14"/>
    <w:rsid w:val="00CD280E"/>
    <w:rsid w:val="00CE0870"/>
    <w:rsid w:val="00D06DC8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4E69"/>
    <w:rsid w:val="00EC6FAB"/>
    <w:rsid w:val="00EE6DD3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E7F95-2EB6-4B73-B719-75D9ADF5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91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22</cp:revision>
  <cp:lastPrinted>2014-06-02T09:09:00Z</cp:lastPrinted>
  <dcterms:created xsi:type="dcterms:W3CDTF">2014-12-17T18:14:00Z</dcterms:created>
  <dcterms:modified xsi:type="dcterms:W3CDTF">2015-01-18T13:39:00Z</dcterms:modified>
</cp:coreProperties>
</file>