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F6021" w14:textId="439BD084" w:rsidR="00885258" w:rsidRDefault="00885258" w:rsidP="007B0C8A">
      <w:bookmarkStart w:id="0" w:name="_GoBack"/>
      <w:bookmarkEnd w:id="0"/>
    </w:p>
    <w:p w14:paraId="05179BEF" w14:textId="7A328CAC" w:rsidR="004A3C4A" w:rsidRDefault="004A3C4A" w:rsidP="007B0C8A">
      <w:pPr>
        <w:jc w:val="center"/>
      </w:pPr>
    </w:p>
    <w:p w14:paraId="75C5CE20" w14:textId="2E531F77" w:rsidR="004A3C4A" w:rsidRDefault="007B0C8A" w:rsidP="004A3C4A">
      <w:pPr>
        <w:jc w:val="center"/>
      </w:pPr>
      <w:r>
        <w:t xml:space="preserve">Gymnázium </w:t>
      </w:r>
      <w:r w:rsidR="004A3C4A">
        <w:t xml:space="preserve"> SNP 1 ,</w:t>
      </w:r>
      <w:r>
        <w:t xml:space="preserve"> 056 01</w:t>
      </w:r>
      <w:r w:rsidR="004A3C4A">
        <w:t xml:space="preserve"> Gelnica</w:t>
      </w:r>
    </w:p>
    <w:p w14:paraId="28ACC6E6" w14:textId="46B8AEAD" w:rsidR="004A3C4A" w:rsidRDefault="004A3C4A" w:rsidP="004A3C4A">
      <w:pPr>
        <w:jc w:val="center"/>
      </w:pPr>
    </w:p>
    <w:p w14:paraId="3611F618" w14:textId="77777777" w:rsidR="007B0C8A" w:rsidRDefault="007B0C8A" w:rsidP="004A3C4A">
      <w:pPr>
        <w:jc w:val="center"/>
      </w:pPr>
    </w:p>
    <w:p w14:paraId="6A1AC8FD" w14:textId="77777777" w:rsidR="007B0C8A" w:rsidRDefault="007B0C8A" w:rsidP="004A3C4A">
      <w:pPr>
        <w:jc w:val="center"/>
      </w:pPr>
    </w:p>
    <w:p w14:paraId="209D7CAF" w14:textId="77777777" w:rsidR="007B0C8A" w:rsidRDefault="007B0C8A" w:rsidP="004A3C4A">
      <w:pPr>
        <w:jc w:val="center"/>
      </w:pPr>
    </w:p>
    <w:p w14:paraId="54C51931" w14:textId="77777777" w:rsidR="007B0C8A" w:rsidRDefault="007B0C8A" w:rsidP="004A3C4A">
      <w:pPr>
        <w:jc w:val="center"/>
      </w:pPr>
    </w:p>
    <w:p w14:paraId="286461EA" w14:textId="77777777" w:rsidR="007B0C8A" w:rsidRDefault="007B0C8A" w:rsidP="004A3C4A">
      <w:pPr>
        <w:jc w:val="center"/>
      </w:pPr>
    </w:p>
    <w:p w14:paraId="134F6AC5" w14:textId="77777777" w:rsidR="00CC647D" w:rsidRDefault="00CC647D" w:rsidP="004A3C4A">
      <w:pPr>
        <w:jc w:val="center"/>
        <w:rPr>
          <w:b/>
        </w:rPr>
      </w:pPr>
    </w:p>
    <w:p w14:paraId="68BFB4BF" w14:textId="77777777" w:rsidR="00CC647D" w:rsidRDefault="00CC647D" w:rsidP="004A3C4A">
      <w:pPr>
        <w:jc w:val="center"/>
        <w:rPr>
          <w:b/>
        </w:rPr>
      </w:pPr>
    </w:p>
    <w:p w14:paraId="2E0D242D" w14:textId="5544B351" w:rsidR="007B0C8A" w:rsidRPr="007B0C8A" w:rsidRDefault="007B0C8A" w:rsidP="004A3C4A">
      <w:pPr>
        <w:jc w:val="center"/>
        <w:rPr>
          <w:b/>
        </w:rPr>
      </w:pPr>
      <w:r w:rsidRPr="007B0C8A">
        <w:rPr>
          <w:b/>
        </w:rPr>
        <w:t>Problematika cukrovky v dnešnej dobe</w:t>
      </w:r>
    </w:p>
    <w:p w14:paraId="4931A7D7" w14:textId="141BE8DD" w:rsidR="007B0C8A" w:rsidRDefault="007B0C8A" w:rsidP="004A3C4A">
      <w:pPr>
        <w:jc w:val="center"/>
      </w:pPr>
      <w:r>
        <w:t xml:space="preserve">Stredoškolská odborná činnosť </w:t>
      </w:r>
    </w:p>
    <w:p w14:paraId="1100C69D" w14:textId="77777777" w:rsidR="007B0C8A" w:rsidRDefault="007B0C8A" w:rsidP="004A3C4A">
      <w:pPr>
        <w:jc w:val="center"/>
      </w:pPr>
    </w:p>
    <w:p w14:paraId="65D030E7" w14:textId="77777777" w:rsidR="007B0C8A" w:rsidRDefault="007B0C8A" w:rsidP="004A3C4A">
      <w:pPr>
        <w:jc w:val="center"/>
      </w:pPr>
    </w:p>
    <w:p w14:paraId="75CA853D" w14:textId="77777777" w:rsidR="00885258" w:rsidRDefault="00885258"/>
    <w:p w14:paraId="76741CF7" w14:textId="69D2E575" w:rsidR="00885258" w:rsidRDefault="00885258"/>
    <w:p w14:paraId="6E22A5B0" w14:textId="06130FE6" w:rsidR="00885258" w:rsidRDefault="00127F34" w:rsidP="00127F34">
      <w:pPr>
        <w:tabs>
          <w:tab w:val="left" w:pos="3672"/>
        </w:tabs>
      </w:pPr>
      <w:r>
        <w:tab/>
      </w:r>
    </w:p>
    <w:p w14:paraId="3EFC605C" w14:textId="6C4074F1" w:rsidR="00885258" w:rsidRDefault="00885258"/>
    <w:p w14:paraId="7FD32FEB" w14:textId="77777777" w:rsidR="007B0C8A" w:rsidRDefault="007B0C8A"/>
    <w:p w14:paraId="63E239A3" w14:textId="77777777" w:rsidR="007B0C8A" w:rsidRDefault="007B0C8A"/>
    <w:p w14:paraId="78CA1860" w14:textId="77777777" w:rsidR="007B0C8A" w:rsidRDefault="007B0C8A"/>
    <w:p w14:paraId="7C1605DF" w14:textId="77777777" w:rsidR="007B0C8A" w:rsidRDefault="007B0C8A"/>
    <w:p w14:paraId="60B4A457" w14:textId="77777777" w:rsidR="00CC647D" w:rsidRDefault="00CC647D"/>
    <w:p w14:paraId="0D117580" w14:textId="77777777" w:rsidR="00CC647D" w:rsidRDefault="00CC647D"/>
    <w:p w14:paraId="71D56572" w14:textId="77777777" w:rsidR="00CC647D" w:rsidRDefault="00CC647D"/>
    <w:p w14:paraId="22A1BE3A" w14:textId="77777777" w:rsidR="00CC647D" w:rsidRDefault="00CC647D"/>
    <w:p w14:paraId="320B7BA2" w14:textId="77777777" w:rsidR="00CC647D" w:rsidRDefault="00CC647D"/>
    <w:p w14:paraId="0F859F58" w14:textId="44CE9AB4" w:rsidR="007B0C8A" w:rsidRDefault="007B0C8A">
      <w:r>
        <w:t>Šk. rok : 2023/2024                                                                                                 Riešiteľ : Stela Garančovská</w:t>
      </w:r>
    </w:p>
    <w:p w14:paraId="4589941B" w14:textId="50CBCA42" w:rsidR="007B0C8A" w:rsidRDefault="007B0C8A">
      <w:r>
        <w:t>Gelnica                                                                                                                       Ročník : tretí</w:t>
      </w:r>
    </w:p>
    <w:p w14:paraId="2E45FE0A" w14:textId="61FE6E99" w:rsidR="007B0C8A" w:rsidRDefault="007B0C8A">
      <w:r>
        <w:t xml:space="preserve">                                                                                                                                    Školiteľ : </w:t>
      </w:r>
    </w:p>
    <w:p w14:paraId="45428498" w14:textId="77777777" w:rsidR="007B0C8A" w:rsidRDefault="007B0C8A"/>
    <w:p w14:paraId="23E5998E" w14:textId="77777777" w:rsidR="007B0C8A" w:rsidRDefault="007B0C8A"/>
    <w:p w14:paraId="3A40AA5D" w14:textId="77777777" w:rsidR="007B0C8A" w:rsidRDefault="007B0C8A"/>
    <w:p w14:paraId="5DD47A17" w14:textId="77777777" w:rsidR="007B0C8A" w:rsidRDefault="007B0C8A"/>
    <w:p w14:paraId="3B5CA90F" w14:textId="77777777" w:rsidR="007B0C8A" w:rsidRDefault="007B0C8A"/>
    <w:p w14:paraId="6CCE8315" w14:textId="77777777" w:rsidR="007B0C8A" w:rsidRDefault="007B0C8A"/>
    <w:p w14:paraId="4987A647" w14:textId="77777777" w:rsidR="007B0C8A" w:rsidRDefault="007B0C8A"/>
    <w:p w14:paraId="0E4F582E" w14:textId="58CF82A7" w:rsidR="007B0C8A" w:rsidRDefault="007B0C8A" w:rsidP="007B0C8A"/>
    <w:p w14:paraId="2BD42081" w14:textId="77777777" w:rsidR="007B0C8A" w:rsidRDefault="007B0C8A" w:rsidP="007B0C8A"/>
    <w:p w14:paraId="03EFB48E" w14:textId="77777777" w:rsidR="007B0C8A" w:rsidRDefault="007B0C8A" w:rsidP="007B0C8A"/>
    <w:p w14:paraId="1DEE6E33" w14:textId="77777777" w:rsidR="007B0C8A" w:rsidRDefault="007B0C8A" w:rsidP="007B0C8A"/>
    <w:p w14:paraId="5F06605C" w14:textId="77777777" w:rsidR="007B0C8A" w:rsidRDefault="007B0C8A" w:rsidP="007B0C8A"/>
    <w:p w14:paraId="12AB8E5A" w14:textId="77777777" w:rsidR="007B0C8A" w:rsidRDefault="007B0C8A" w:rsidP="007B0C8A"/>
    <w:p w14:paraId="5A80DFDF" w14:textId="77777777" w:rsidR="007B0C8A" w:rsidRDefault="007B0C8A" w:rsidP="007B0C8A"/>
    <w:p w14:paraId="1D194B4D" w14:textId="77777777" w:rsidR="007B0C8A" w:rsidRDefault="007B0C8A" w:rsidP="007B0C8A"/>
    <w:p w14:paraId="6E6A81EA" w14:textId="77777777" w:rsidR="007B0C8A" w:rsidRDefault="007B0C8A" w:rsidP="007B0C8A"/>
    <w:p w14:paraId="0706F003" w14:textId="77777777" w:rsidR="007B0C8A" w:rsidRDefault="007B0C8A" w:rsidP="007B0C8A"/>
    <w:p w14:paraId="30325C43" w14:textId="77777777" w:rsidR="007B0C8A" w:rsidRDefault="007B0C8A" w:rsidP="007B0C8A"/>
    <w:p w14:paraId="170A4086" w14:textId="77777777" w:rsidR="007B0C8A" w:rsidRDefault="007B0C8A" w:rsidP="007B0C8A"/>
    <w:p w14:paraId="7F5A0169" w14:textId="77777777" w:rsidR="007B0C8A" w:rsidRDefault="007B0C8A" w:rsidP="007B0C8A"/>
    <w:p w14:paraId="3AF503D8" w14:textId="77777777" w:rsidR="007B0C8A" w:rsidRDefault="007B0C8A" w:rsidP="007B0C8A"/>
    <w:p w14:paraId="64A1421E" w14:textId="77777777" w:rsidR="007B0C8A" w:rsidRDefault="007B0C8A" w:rsidP="007B0C8A"/>
    <w:p w14:paraId="19727223" w14:textId="77777777" w:rsidR="007B0C8A" w:rsidRDefault="007B0C8A" w:rsidP="007B0C8A"/>
    <w:p w14:paraId="56915825" w14:textId="77777777" w:rsidR="007B0C8A" w:rsidRDefault="007B0C8A" w:rsidP="007B0C8A"/>
    <w:p w14:paraId="5AFAF1D0" w14:textId="77777777" w:rsidR="007B0C8A" w:rsidRPr="007B0C8A" w:rsidRDefault="007B0C8A" w:rsidP="007B0C8A">
      <w:pPr>
        <w:rPr>
          <w:b/>
          <w:sz w:val="32"/>
          <w:szCs w:val="32"/>
        </w:rPr>
      </w:pPr>
      <w:r w:rsidRPr="007B0C8A">
        <w:rPr>
          <w:b/>
          <w:sz w:val="32"/>
          <w:szCs w:val="32"/>
        </w:rPr>
        <w:t>Čestné vyhlásenie</w:t>
      </w:r>
    </w:p>
    <w:p w14:paraId="23AABB29" w14:textId="77777777" w:rsidR="007B0C8A" w:rsidRDefault="007B0C8A" w:rsidP="007B0C8A"/>
    <w:p w14:paraId="349A41C1" w14:textId="01473436" w:rsidR="007B0C8A" w:rsidRDefault="007B0C8A" w:rsidP="007B0C8A">
      <w:r>
        <w:t xml:space="preserve"> Čestne vyhlasujem, že som túto prácu v rámci stredoškolskej odbornej činnosti vypracovala samostatne a len za pomoci uvedenej literatúry a pod odborným dohľadom môjho konzultanta. Zároveň vyhlasujem, že som túto prácu neprezentovala v žiadnej inej súťaži organizovanej MŠ SR. Som si vedomá právnych následkov, ak je toto vyhlásenie nepravdivé. </w:t>
      </w:r>
    </w:p>
    <w:p w14:paraId="59D2E687" w14:textId="77777777" w:rsidR="007B0C8A" w:rsidRDefault="007B0C8A" w:rsidP="007B0C8A"/>
    <w:p w14:paraId="2B9E31A2" w14:textId="2812CA67" w:rsidR="00CC647D" w:rsidRDefault="00CC647D">
      <w:r>
        <w:t xml:space="preserve">                                                                                                                                 ______________</w:t>
      </w:r>
    </w:p>
    <w:p w14:paraId="099C4FAF" w14:textId="77777777" w:rsidR="00CC647D" w:rsidRDefault="00CC647D"/>
    <w:p w14:paraId="1E08955E" w14:textId="6C8CA7F0" w:rsidR="00CC647D" w:rsidRDefault="00CC647D" w:rsidP="007B0C8A">
      <w:r>
        <w:t xml:space="preserve">Obsah </w:t>
      </w:r>
    </w:p>
    <w:p w14:paraId="06118FAB" w14:textId="77777777" w:rsidR="00CC647D" w:rsidRDefault="00CC647D">
      <w:r>
        <w:br w:type="page"/>
      </w:r>
    </w:p>
    <w:p w14:paraId="3E8DF2BB" w14:textId="705EE353" w:rsidR="00885258" w:rsidRDefault="00C45159">
      <w:r>
        <w:t>ÚVOD</w:t>
      </w:r>
    </w:p>
    <w:p w14:paraId="07572AE7" w14:textId="1484D800" w:rsidR="00C45159" w:rsidRDefault="00456F32">
      <w:pPr>
        <w:rPr>
          <w:color w:val="000000"/>
          <w:shd w:val="clear" w:color="auto" w:fill="FFFFFF"/>
        </w:rPr>
      </w:pPr>
      <w:r>
        <w:t>,,</w:t>
      </w:r>
      <w:r w:rsidR="00885258">
        <w:t>Už</w:t>
      </w:r>
      <w:r w:rsidR="00EB35E0">
        <w:t xml:space="preserve"> je to 5 rokov , čo ma</w:t>
      </w:r>
      <w:r w:rsidR="00885258">
        <w:t xml:space="preserve"> diagnostikovali s cukrovkou prvého typu a mn</w:t>
      </w:r>
      <w:r w:rsidR="00EB35E0">
        <w:t>e sa život zmenil o 180 stupňov</w:t>
      </w:r>
      <w:r w:rsidR="00885258">
        <w:t>. Prišla nová zodpovednosť , nové pravidlá , povinnosti a obmedzenia.</w:t>
      </w:r>
      <w:r>
        <w:t>“ – pacientka s ochorením diabetes me</w:t>
      </w:r>
      <w:r w:rsidR="006B1195">
        <w:t>l</w:t>
      </w:r>
      <w:r>
        <w:t xml:space="preserve">litus 1. typu. Pre tých , ktorým nie je známe ľudovo nazývaná cukrovka je ochorenie, pri </w:t>
      </w:r>
      <w:r w:rsidR="00885258">
        <w:t xml:space="preserve">ktorom si človek ním postihnutý musí dávať pozor na stravu , množstvo podaného inzulínu , náročnosť fyzického pohybu , emočné a hormonálne rozpoloženie pretože všetky tieto faktory </w:t>
      </w:r>
      <w:r>
        <w:t>sú neoddeliteľnou súčasťou života cukrovkára</w:t>
      </w:r>
      <w:r w:rsidR="00885258">
        <w:t xml:space="preserve"> a</w:t>
      </w:r>
      <w:r w:rsidR="00DB4FE4">
        <w:t> </w:t>
      </w:r>
      <w:r w:rsidR="00885258">
        <w:t>zárove</w:t>
      </w:r>
      <w:r w:rsidR="00DB4FE4">
        <w:t>ň vo veľkej miere ov</w:t>
      </w:r>
      <w:r>
        <w:t>plyvňujú jeho zdravotný stav</w:t>
      </w:r>
      <w:r w:rsidR="00DB4FE4">
        <w:t>. V mojej sočke chcem poukázať na nedostatky v riešení tohto och</w:t>
      </w:r>
      <w:r w:rsidR="00035CE3">
        <w:t>orenia</w:t>
      </w:r>
      <w:r w:rsidR="004A3C4A">
        <w:t xml:space="preserve">. Mojím cieľom je dať do popredia </w:t>
      </w:r>
      <w:r w:rsidR="00F24EEE">
        <w:t xml:space="preserve">ľudí </w:t>
      </w:r>
      <w:r w:rsidR="006B1195">
        <w:t xml:space="preserve">, </w:t>
      </w:r>
      <w:r w:rsidR="00F24EEE">
        <w:t>ktorí si nemôžu dov</w:t>
      </w:r>
      <w:r w:rsidR="00F37F95">
        <w:t>o</w:t>
      </w:r>
      <w:r w:rsidR="00F24EEE">
        <w:t xml:space="preserve">liť isté vymoženosti </w:t>
      </w:r>
      <w:r>
        <w:t xml:space="preserve">, ktoré </w:t>
      </w:r>
      <w:r w:rsidR="00F37F95">
        <w:t xml:space="preserve"> diabetikom pomáhajú. Dokonalým príkladom je inzulínová pumpa. Je to jednoducho povedaný elek</w:t>
      </w:r>
      <w:r>
        <w:t xml:space="preserve">trický pankreas. Pumpa im </w:t>
      </w:r>
      <w:r w:rsidR="00F37F95">
        <w:t>umožňuje mať výsledky takmer ako zdravý človek s </w:t>
      </w:r>
      <w:r w:rsidR="00CF6FF9">
        <w:t>menšími</w:t>
      </w:r>
      <w:r w:rsidR="00F37F95">
        <w:t xml:space="preserve"> </w:t>
      </w:r>
      <w:r w:rsidR="00CF6FF9">
        <w:t>výchylkami</w:t>
      </w:r>
      <w:r w:rsidR="00F37F95">
        <w:t>. Čiže umožňuje to čo je s inzulínovými perami skoro nemožné. Aby ste ma chápali na liečbu cukrovky je potrebný inzulín predpísaný lekárom</w:t>
      </w:r>
      <w:r w:rsidR="0062780D">
        <w:t xml:space="preserve">  </w:t>
      </w:r>
      <w:r w:rsidR="00F37F95">
        <w:t xml:space="preserve">. </w:t>
      </w:r>
      <w:r w:rsidR="0062780D">
        <w:t xml:space="preserve">Neliečená cukrovka vedie </w:t>
      </w:r>
      <w:r w:rsidR="00CF6FF9">
        <w:t>k </w:t>
      </w:r>
      <w:r w:rsidR="00CF6FF9">
        <w:rPr>
          <w:color w:val="000000"/>
          <w:shd w:val="clear" w:color="auto" w:fill="FFFFFF"/>
        </w:rPr>
        <w:t xml:space="preserve">závažným </w:t>
      </w:r>
      <w:r w:rsidR="0062780D" w:rsidRPr="0062780D">
        <w:rPr>
          <w:color w:val="000000"/>
          <w:shd w:val="clear" w:color="auto" w:fill="FFFFFF"/>
        </w:rPr>
        <w:t>ochorenia</w:t>
      </w:r>
      <w:r w:rsidR="00CF6FF9">
        <w:rPr>
          <w:color w:val="000000"/>
          <w:shd w:val="clear" w:color="auto" w:fill="FFFFFF"/>
        </w:rPr>
        <w:t>m</w:t>
      </w:r>
      <w:r w:rsidR="0062780D" w:rsidRPr="0062780D">
        <w:rPr>
          <w:color w:val="000000"/>
          <w:shd w:val="clear" w:color="auto" w:fill="FFFFFF"/>
        </w:rPr>
        <w:t xml:space="preserve"> ako diabetická retinopatia, nefropatia, neuropatia, či diabetická noha, ktorej častým dôsledkom sú tzv. salámové amputácie končatín. </w:t>
      </w:r>
      <w:r w:rsidR="00D007D3">
        <w:rPr>
          <w:color w:val="000000"/>
          <w:shd w:val="clear" w:color="auto" w:fill="FFFFFF"/>
        </w:rPr>
        <w:t xml:space="preserve">Ako predísť týmto komplikáciám ?  Je </w:t>
      </w:r>
      <w:r w:rsidR="00CF6FF9">
        <w:rPr>
          <w:color w:val="000000"/>
          <w:shd w:val="clear" w:color="auto" w:fill="FFFFFF"/>
        </w:rPr>
        <w:t>to takzvaný začarovaný kruh . Zá</w:t>
      </w:r>
      <w:r w:rsidR="00D007D3">
        <w:rPr>
          <w:color w:val="000000"/>
          <w:shd w:val="clear" w:color="auto" w:fill="FFFFFF"/>
        </w:rPr>
        <w:t>kladným princípom spomalenia všetkých komplikácii , ktoré cukrovka spôsobu</w:t>
      </w:r>
      <w:r w:rsidR="00CF6FF9">
        <w:rPr>
          <w:color w:val="000000"/>
          <w:shd w:val="clear" w:color="auto" w:fill="FFFFFF"/>
        </w:rPr>
        <w:t>j</w:t>
      </w:r>
      <w:r w:rsidR="00D007D3">
        <w:rPr>
          <w:color w:val="000000"/>
          <w:shd w:val="clear" w:color="auto" w:fill="FFFFFF"/>
        </w:rPr>
        <w:t>e je udržanie dobrej hladiny cukru v krvi čo je bez dobrej kompenzácie diabetu nemožné. Pumpa ako som spomí</w:t>
      </w:r>
      <w:r>
        <w:rPr>
          <w:color w:val="000000"/>
          <w:shd w:val="clear" w:color="auto" w:fill="FFFFFF"/>
        </w:rPr>
        <w:t xml:space="preserve">nala toto zaručuje a je pre </w:t>
      </w:r>
      <w:r w:rsidR="00D007D3">
        <w:rPr>
          <w:color w:val="000000"/>
          <w:shd w:val="clear" w:color="auto" w:fill="FFFFFF"/>
        </w:rPr>
        <w:t xml:space="preserve">organizmus oveľa </w:t>
      </w:r>
      <w:r w:rsidR="00CF6FF9">
        <w:rPr>
          <w:color w:val="000000"/>
          <w:shd w:val="clear" w:color="auto" w:fill="FFFFFF"/>
        </w:rPr>
        <w:t>šetrnejšia ako liečba inzulínový</w:t>
      </w:r>
      <w:r w:rsidR="00D007D3">
        <w:rPr>
          <w:color w:val="000000"/>
          <w:shd w:val="clear" w:color="auto" w:fill="FFFFFF"/>
        </w:rPr>
        <w:t>mi perami , pretože č</w:t>
      </w:r>
      <w:r>
        <w:rPr>
          <w:color w:val="000000"/>
          <w:shd w:val="clear" w:color="auto" w:fill="FFFFFF"/>
        </w:rPr>
        <w:t>lovek nemá šancu žiť , pracovať</w:t>
      </w:r>
      <w:r w:rsidR="00D007D3">
        <w:rPr>
          <w:color w:val="000000"/>
          <w:shd w:val="clear" w:color="auto" w:fill="FFFFFF"/>
        </w:rPr>
        <w:t xml:space="preserve">, študovať a venovať sa rodine ak by </w:t>
      </w:r>
      <w:r w:rsidR="00EB35E0">
        <w:rPr>
          <w:color w:val="000000"/>
          <w:shd w:val="clear" w:color="auto" w:fill="FFFFFF"/>
        </w:rPr>
        <w:t>si mal</w:t>
      </w:r>
      <w:r w:rsidR="00D007D3">
        <w:rPr>
          <w:color w:val="000000"/>
          <w:shd w:val="clear" w:color="auto" w:fill="FFFFFF"/>
        </w:rPr>
        <w:t xml:space="preserve"> každý polhodinový interval vstrekovať inzulín pomocou pera do svojho organizmu. Opäť , tot</w:t>
      </w:r>
      <w:r w:rsidR="00CF6FF9">
        <w:rPr>
          <w:color w:val="000000"/>
          <w:shd w:val="clear" w:color="auto" w:fill="FFFFFF"/>
        </w:rPr>
        <w:t>o</w:t>
      </w:r>
      <w:r w:rsidR="00D007D3">
        <w:rPr>
          <w:color w:val="000000"/>
          <w:shd w:val="clear" w:color="auto" w:fill="FFFFFF"/>
        </w:rPr>
        <w:t xml:space="preserve"> pumpa zaručuje . Myslím že chápete čo tu chcem povedať . Pumpa je veľkým pomocníkom. Ale ako to s ňou funguje ? </w:t>
      </w:r>
      <w:r w:rsidR="00961F08">
        <w:rPr>
          <w:color w:val="000000"/>
          <w:shd w:val="clear" w:color="auto" w:fill="FFFFFF"/>
        </w:rPr>
        <w:t>Toto zariadenie nie</w:t>
      </w:r>
      <w:r w:rsidR="00CF6FF9">
        <w:rPr>
          <w:color w:val="000000"/>
          <w:shd w:val="clear" w:color="auto" w:fill="FFFFFF"/>
        </w:rPr>
        <w:t xml:space="preserve"> </w:t>
      </w:r>
      <w:r w:rsidR="00961F08">
        <w:rPr>
          <w:color w:val="000000"/>
          <w:shd w:val="clear" w:color="auto" w:fill="FFFFFF"/>
        </w:rPr>
        <w:t xml:space="preserve">je dostupné pre všetkých . </w:t>
      </w:r>
      <w:r w:rsidR="00CF6FF9">
        <w:rPr>
          <w:color w:val="000000"/>
          <w:shd w:val="clear" w:color="auto" w:fill="FFFFFF"/>
        </w:rPr>
        <w:t>A práve toto je jednou z nevýhod inzulínovej pumpy. Vhodní adepti sú práve ľudia , u ktorých nie je možné dosiahnuť vyhovujúce hladiny cukru</w:t>
      </w:r>
      <w:r w:rsidR="00EB35E0">
        <w:rPr>
          <w:color w:val="000000"/>
          <w:shd w:val="clear" w:color="auto" w:fill="FFFFFF"/>
        </w:rPr>
        <w:t xml:space="preserve"> v krvi</w:t>
      </w:r>
      <w:r w:rsidR="00CF6FF9">
        <w:rPr>
          <w:color w:val="000000"/>
          <w:shd w:val="clear" w:color="auto" w:fill="FFFFFF"/>
        </w:rPr>
        <w:t>. Ľudia , ktorí sú po transplantácii orgánov alebo tehotné ženy. Ak Vám vaša zdravotná poisťovňa schváli používanie inz</w:t>
      </w:r>
      <w:r w:rsidR="002D1340">
        <w:rPr>
          <w:color w:val="000000"/>
          <w:shd w:val="clear" w:color="auto" w:fill="FFFFFF"/>
        </w:rPr>
        <w:t>ulínovej pumpy, neplatíte, alebo nedoplácate nič. Taktiež kanyly sú plne hradené poisťovňou. Váš ošetrujúci lekár Vám každý mesiac predpisuje stanovené množstvo kanýl a inzulínových zásobníkov</w:t>
      </w:r>
      <w:r>
        <w:rPr>
          <w:color w:val="000000"/>
          <w:shd w:val="clear" w:color="auto" w:fill="FFFFFF"/>
        </w:rPr>
        <w:t>, bez ktorých je pumpa nepoužiteľná</w:t>
      </w:r>
      <w:r w:rsidR="002D1340">
        <w:rPr>
          <w:color w:val="000000"/>
          <w:shd w:val="clear" w:color="auto" w:fill="FFFFFF"/>
        </w:rPr>
        <w:t>. Ak však chcete k inzulínovej pumpe používať aj kontinuálny monitoring</w:t>
      </w:r>
      <w:r w:rsidR="00EB35E0">
        <w:rPr>
          <w:color w:val="000000"/>
          <w:shd w:val="clear" w:color="auto" w:fill="FFFFFF"/>
        </w:rPr>
        <w:t xml:space="preserve"> laicky povedané senzor</w:t>
      </w:r>
      <w:r w:rsidR="002D1340">
        <w:rPr>
          <w:color w:val="000000"/>
          <w:shd w:val="clear" w:color="auto" w:fill="FFFFFF"/>
        </w:rPr>
        <w:t xml:space="preserve"> ,</w:t>
      </w:r>
      <w:r>
        <w:rPr>
          <w:color w:val="000000"/>
          <w:shd w:val="clear" w:color="auto" w:fill="FFFFFF"/>
        </w:rPr>
        <w:t>bez ktorého je taktiež pumpa zbytočná ,</w:t>
      </w:r>
      <w:r w:rsidR="002D1340">
        <w:rPr>
          <w:color w:val="000000"/>
          <w:shd w:val="clear" w:color="auto" w:fill="FFFFFF"/>
        </w:rPr>
        <w:t xml:space="preserve"> musíte si ho hradiť z vlastných financií . Od 1.1.2012 je schválené kategorizačnou komisiou , preplácanie 4 senzorov v rámci jedného kalendárneho</w:t>
      </w:r>
      <w:r>
        <w:rPr>
          <w:color w:val="000000"/>
          <w:shd w:val="clear" w:color="auto" w:fill="FFFFFF"/>
        </w:rPr>
        <w:t xml:space="preserve"> roka. Pre vašu predstavu ...  väčšina pacientov používa </w:t>
      </w:r>
      <w:r w:rsidR="002D1340">
        <w:rPr>
          <w:color w:val="000000"/>
          <w:shd w:val="clear" w:color="auto" w:fill="FFFFFF"/>
        </w:rPr>
        <w:t>senzor od značky Dexcom G6 , tento konkrétny typ má trvanlivosť po nastrelení 10 dní . Ak rátam</w:t>
      </w:r>
      <w:r>
        <w:rPr>
          <w:color w:val="000000"/>
          <w:shd w:val="clear" w:color="auto" w:fill="FFFFFF"/>
        </w:rPr>
        <w:t xml:space="preserve"> správne , bez toho, </w:t>
      </w:r>
      <w:r w:rsidR="002D1340">
        <w:rPr>
          <w:color w:val="000000"/>
          <w:shd w:val="clear" w:color="auto" w:fill="FFFFFF"/>
        </w:rPr>
        <w:t xml:space="preserve"> že senzor sa </w:t>
      </w:r>
      <w:r w:rsidR="00766C93">
        <w:rPr>
          <w:color w:val="000000"/>
          <w:shd w:val="clear" w:color="auto" w:fill="FFFFFF"/>
        </w:rPr>
        <w:t xml:space="preserve">nedopatrením </w:t>
      </w:r>
      <w:r w:rsidR="002D1340">
        <w:rPr>
          <w:color w:val="000000"/>
          <w:shd w:val="clear" w:color="auto" w:fill="FFFFFF"/>
        </w:rPr>
        <w:t>odlepí skôr ako prejde</w:t>
      </w:r>
      <w:r>
        <w:rPr>
          <w:color w:val="000000"/>
          <w:shd w:val="clear" w:color="auto" w:fill="FFFFFF"/>
        </w:rPr>
        <w:t xml:space="preserve"> 10 dní , tak za rok spotrebujú</w:t>
      </w:r>
      <w:r w:rsidR="006B1195">
        <w:rPr>
          <w:color w:val="000000"/>
          <w:shd w:val="clear" w:color="auto" w:fill="FFFFFF"/>
        </w:rPr>
        <w:t xml:space="preserve"> 37</w:t>
      </w:r>
      <w:r w:rsidR="002D1340">
        <w:rPr>
          <w:color w:val="000000"/>
          <w:shd w:val="clear" w:color="auto" w:fill="FFFFFF"/>
        </w:rPr>
        <w:t xml:space="preserve"> ks senzorov .</w:t>
      </w:r>
      <w:r w:rsidR="00766C93">
        <w:rPr>
          <w:color w:val="000000"/>
          <w:shd w:val="clear" w:color="auto" w:fill="FFFFFF"/>
        </w:rPr>
        <w:t xml:space="preserve"> Od </w:t>
      </w:r>
      <w:r w:rsidR="000E7F21">
        <w:rPr>
          <w:color w:val="000000"/>
          <w:shd w:val="clear" w:color="auto" w:fill="FFFFFF"/>
        </w:rPr>
        <w:t xml:space="preserve"> endokrinologičky mi bolo potvrdené , že v úsilí lekárov je tento problém riešiť a po r</w:t>
      </w:r>
      <w:r w:rsidR="006B1195">
        <w:rPr>
          <w:color w:val="000000"/>
          <w:shd w:val="clear" w:color="auto" w:fill="FFFFFF"/>
        </w:rPr>
        <w:t xml:space="preserve">okoch sa to stále niekam posúva avšak nie na toľko aby </w:t>
      </w:r>
      <w:r w:rsidR="00074913">
        <w:rPr>
          <w:color w:val="000000"/>
          <w:shd w:val="clear" w:color="auto" w:fill="FFFFFF"/>
        </w:rPr>
        <w:t xml:space="preserve">mohol každý diabetik žiť spokojne a bez obmedzení. </w:t>
      </w:r>
    </w:p>
    <w:p w14:paraId="7B8ED363" w14:textId="77777777" w:rsidR="00C45159" w:rsidRDefault="00C4515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2A28225A" w14:textId="1D677273" w:rsidR="00C45159" w:rsidRDefault="00C45159">
      <w:r>
        <w:t>METODIKA PRÁCE</w:t>
      </w:r>
    </w:p>
    <w:p w14:paraId="794B2124" w14:textId="03A3A786" w:rsidR="00885258" w:rsidRPr="0062780D" w:rsidRDefault="00C45159">
      <w:r>
        <w:t xml:space="preserve">Ako som spomínala určitý podnet na napísanie mojej práce mi dal aj </w:t>
      </w:r>
      <w:r w:rsidR="00074913">
        <w:t xml:space="preserve">fakt , že to aj mne určitým spôsobom zasahuje do života. Skúsená </w:t>
      </w:r>
      <w:r>
        <w:t xml:space="preserve">lekárka a ostatní diabetetici , u ktorých som  mala možnosť vidieť ako zhoršený stav majú a ako by im pomôcky , na ktoré nemajú financie pomohli. </w:t>
      </w:r>
      <w:r w:rsidR="00456F32">
        <w:t xml:space="preserve">To bol môj štart. Videla som ako vplyv verejnosti funguje keď pred pár rokmi moja mamka s ostatnými </w:t>
      </w:r>
      <w:r w:rsidR="00074913">
        <w:t xml:space="preserve"> mamičkami a pacientmi rozhodli bojovať za preplácanie aj iných značiek senzorov prostredníctvom mailov a relácie reflex.</w:t>
      </w:r>
    </w:p>
    <w:p w14:paraId="62D28788" w14:textId="77777777" w:rsidR="00D9643B" w:rsidRDefault="00D9643B" w:rsidP="00EB35E0">
      <w:pPr>
        <w:tabs>
          <w:tab w:val="right" w:pos="9072"/>
        </w:tabs>
        <w:jc w:val="center"/>
      </w:pPr>
    </w:p>
    <w:p w14:paraId="270940B6" w14:textId="77777777" w:rsidR="00D9643B" w:rsidRDefault="00D9643B">
      <w:r>
        <w:br w:type="page"/>
      </w:r>
    </w:p>
    <w:p w14:paraId="249E62D9" w14:textId="5EF59764" w:rsidR="00C45159" w:rsidRDefault="00C45159" w:rsidP="00EB35E0">
      <w:pPr>
        <w:tabs>
          <w:tab w:val="right" w:pos="9072"/>
        </w:tabs>
        <w:jc w:val="center"/>
      </w:pPr>
      <w:r>
        <w:t xml:space="preserve">TEORETICKÉ VÝCHODISKÁ </w:t>
      </w:r>
    </w:p>
    <w:p w14:paraId="61D5AB3C" w14:textId="77777777" w:rsidR="008316BE" w:rsidRDefault="00D9643B" w:rsidP="00EB35E0">
      <w:pPr>
        <w:tabs>
          <w:tab w:val="right" w:pos="9072"/>
        </w:tabs>
        <w:jc w:val="center"/>
      </w:pPr>
      <w:r>
        <w:t xml:space="preserve">Ako by som riešila </w:t>
      </w:r>
      <w:r w:rsidR="00455642">
        <w:t xml:space="preserve">problém s nevyplácaním inzulínových púmp pre znevýhodnených pacientov ? V mojom ponímaní by mal mať na  preplatenie plnej sumy každý pacient , je jedno do akej vekovej kategórie spadá. Nie je fér aby mali tie najlepšie zdravotné pomôcky len ľudia ktorí na to majú financie , veď predsa nejde o najnovšie </w:t>
      </w:r>
      <w:r w:rsidR="00DF1C26">
        <w:t xml:space="preserve">topánky , kabelku alebo iné módne doplnky. Ide o zdravie a to je to najdôležitejšie čo máme. Keďže ako som už spomínala , moja doktorka ma oboznámila o neustálej snahe doktorov riešiť tento problém odvolávaním sa na poisťovne , prišla som na iné riešenie. Nepomáha neustále naliehanie a dožadovanie sa pozornosti na tento problém. Môj otec má 52 rokov a celý život si platí zdravotné poistenie , ktoré využil možno 3x v živote čo sa týka nejakých drahších položiek ako obyčajné lieky . Mohli by poisťovne prísť s výnimkami a určitú sumu previesť alebo využiť na preplatenie danej zdravotnej pomôcky rodine , ktorá na to nemá. Tak by sme znížili počet pancientov ktorých zdravotný stav sa zhoršuje len kvôli nedostatku ich príjmu . Ďalej by pacient mohol dostať zariadenie a príslušenstvo k nemu za podmienky , že časť z neho splatí. Ja mám 18 rokov a preplácanie mojich zdravotných pomôcok </w:t>
      </w:r>
      <w:r w:rsidR="00DA0E36">
        <w:t>mi 19-tým rokom života končí. Beriem sa vtedy ako človek , ktorý doštudoval a je schopný zarábať. To ale ja nebudem mať ani zmaturované a o tom , že chcem študovať ďalších 6 rokov medicínu ani nehovorím . myslíte si , že je fér zobrať mi pomôcku ktorá ma každým dňom doslova zachraňuje len kvôli môjmu záujmu o štúdium , ktoré prináša práceneschopnosť ? Ďalej tu ide aj o psychiku pacienta , ktorá sa zhoršuje už len od prvého dňa diagnostikovania choroby. Človek rozmýšľa ako sa celý jeho život mení , ako bude fungovať a koľko povinností mu pribudne. Financie a zdravotnícke pomôcky prichádzajú ako druhé , ďalšia starosť , ktorá to absolútne nezlepšuje , práve naopak. Vtedy je človek schopný sa zrútiť . A prečo ? preto že ľudia v dnešnej dobe často krát nedokážu byť empatickí a pozerať aj na dobro iných ? Pretože p</w:t>
      </w:r>
      <w:r w:rsidR="00C65485">
        <w:t>rirodzenou vlastnosťou človeka je mať čo najviac pre seba a nieje schopný spraviť niečo zadarmo len pre dobrý pocit ?</w:t>
      </w:r>
      <w:r w:rsidR="00DA0E36">
        <w:t>On si tento stav nevybral , verte že by bol oveľa radšej opäť normálny , obyčajný a to ani nehovorím ako rád by riešil prízemné a povrchné veci ako všetci ostatní.</w:t>
      </w:r>
      <w:r w:rsidR="008316BE">
        <w:t xml:space="preserve"> Ak vieme nájsť financie na niekoľko týždňové liečenie alkoholika , ktorého rozhodnutie bolo napiť sa , prečo by sme nevedeli nájsť financie na jednoduché zachránenie ľudského života . </w:t>
      </w:r>
    </w:p>
    <w:p w14:paraId="591F8D6C" w14:textId="77777777" w:rsidR="008316BE" w:rsidRDefault="008316BE">
      <w:r>
        <w:br w:type="page"/>
      </w:r>
    </w:p>
    <w:p w14:paraId="7C99691A" w14:textId="77777777" w:rsidR="008316BE" w:rsidRPr="008316BE" w:rsidRDefault="008316BE" w:rsidP="008316BE">
      <w:pPr>
        <w:shd w:val="clear" w:color="auto" w:fill="FFFFFF"/>
        <w:spacing w:before="450" w:after="135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lang w:eastAsia="sk-SK"/>
          <w14:ligatures w14:val="none"/>
        </w:rPr>
      </w:pPr>
      <w:r w:rsidRPr="008316BE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lang w:eastAsia="sk-SK"/>
          <w14:ligatures w14:val="none"/>
        </w:rPr>
        <w:t>Komplikácie</w:t>
      </w:r>
    </w:p>
    <w:p w14:paraId="2461F9F1" w14:textId="77777777" w:rsidR="008316BE" w:rsidRPr="008316BE" w:rsidRDefault="008316BE" w:rsidP="008316B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</w:pPr>
      <w:r w:rsidRPr="008316BE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lang w:eastAsia="sk-SK"/>
          <w14:ligatures w14:val="none"/>
        </w:rPr>
        <w:t>Vysoký krvný tlak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t> – približne 60 – 65 % diabetických pacientov má vysoký krvný tlak. Pacienti s cukrovkou by si mali pravidelne merať krvný tlak a užívať lieky na jeho úpravu, predpísané lekárom. Nekontrolovaný vysoký tlak krvi poškodzuje obličky, oči, urýchľuje výskyt infarktu myokardu a cievnej mozgovej príhody.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lang w:eastAsia="sk-SK"/>
          <w14:ligatures w14:val="none"/>
        </w:rPr>
        <w:t>Kardiovaskulárne choroby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t> – pacienti s cukrovkou majú zvyčajne vyššie hladiny cholesterolu a tuku v krvi ako osoby bez cukrovky. S tým je spojené aj riziko predčasného vzniku srdcovo cievnych ochorení ako akútny infarkt myokardu, ischemická choroba srdca, náhla cievna mozgová príhoda.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lang w:eastAsia="sk-SK"/>
          <w14:ligatures w14:val="none"/>
        </w:rPr>
        <w:t>Diabetická noha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t> – postihnutie dolných končatín, ktoré vzniká v dôsledku zmien cievneho systému, nervov alebo tiež v dôsledku hypoglykémie a hyperglykémie. Pacienti by mali dbať na správny výber obuvi.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br/>
      </w:r>
      <w:r w:rsidRPr="008316BE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lang w:eastAsia="sk-SK"/>
          <w14:ligatures w14:val="none"/>
        </w:rPr>
        <w:t>Ochorenie obličiek (diabetická nefropatia)</w:t>
      </w:r>
      <w:r w:rsidRPr="008316BE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sk-SK"/>
          <w14:ligatures w14:val="none"/>
        </w:rPr>
        <w:t> – obličky odstraňujú odpadové látky von z tela. Prejavom ich poškodenia môže byť aj vysoký krvný tlak.</w:t>
      </w:r>
    </w:p>
    <w:p w14:paraId="2BE5DAF9" w14:textId="3F0F5F33" w:rsidR="00EB35E0" w:rsidRDefault="00885258" w:rsidP="00EB35E0">
      <w:pPr>
        <w:tabs>
          <w:tab w:val="right" w:pos="9072"/>
        </w:tabs>
        <w:jc w:val="center"/>
        <w:rPr>
          <w:sz w:val="28"/>
          <w:szCs w:val="28"/>
        </w:rPr>
      </w:pPr>
      <w:r w:rsidRPr="0062780D">
        <w:br w:type="page"/>
      </w:r>
      <w:r w:rsidR="00EB35E0" w:rsidRPr="00EB35E0">
        <w:rPr>
          <w:sz w:val="28"/>
          <w:szCs w:val="28"/>
        </w:rPr>
        <w:t>ČO JE CIEĽOM INZULÍNOVEJ PUMPY A AKO FUNGUJE ?</w:t>
      </w:r>
    </w:p>
    <w:p w14:paraId="7AD63058" w14:textId="0254C264" w:rsidR="00EB35E0" w:rsidRPr="008E5EA8" w:rsidRDefault="00EB35E0" w:rsidP="008E5EA8">
      <w:pPr>
        <w:tabs>
          <w:tab w:val="right" w:pos="9072"/>
        </w:tabs>
        <w:jc w:val="both"/>
        <w:rPr>
          <w:rStyle w:val="Siln"/>
          <w:rFonts w:cstheme="minorHAnsi"/>
          <w:b w:val="0"/>
          <w:color w:val="000000" w:themeColor="text1"/>
          <w:shd w:val="clear" w:color="auto" w:fill="FFFFFF"/>
        </w:rPr>
      </w:pP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Cieľom pumpy je pracovať, resp. nahrádzať funkciu pankreasu, pri tvorbe inzulínu.</w:t>
      </w:r>
      <w:r w:rsidRPr="008E5EA8">
        <w:rPr>
          <w:rFonts w:cstheme="minorHAnsi"/>
          <w:color w:val="000000" w:themeColor="text1"/>
          <w:shd w:val="clear" w:color="auto" w:fill="FFFFFF"/>
        </w:rPr>
        <w:t> Zastupuje ho po celý deň i v noci. Telu poskytuje vždy toľko inzulínu, koľko potrebuje. Vzhľadom na to, že telo potrebuje istú dávku inzulínu počas celého dňa a inú pri prijímaní potravy, rozlišujeme 2 typy inzulínu. </w:t>
      </w:r>
      <w:r w:rsidRPr="008E5EA8">
        <w:rPr>
          <w:rStyle w:val="Siln"/>
          <w:rFonts w:cstheme="minorHAnsi"/>
          <w:b w:val="0"/>
          <w:color w:val="000000" w:themeColor="text1"/>
          <w:shd w:val="clear" w:color="auto" w:fill="FFFFFF"/>
        </w:rPr>
        <w:t>Ide o:</w:t>
      </w:r>
    </w:p>
    <w:p w14:paraId="613C1995" w14:textId="2BF56A2B" w:rsidR="008E5EA8" w:rsidRDefault="008E5EA8" w:rsidP="00EB35E0">
      <w:pPr>
        <w:tabs>
          <w:tab w:val="right" w:pos="9072"/>
        </w:tabs>
        <w:jc w:val="center"/>
        <w:rPr>
          <w:rStyle w:val="Siln"/>
          <w:rFonts w:cstheme="minorHAnsi"/>
          <w:color w:val="000000" w:themeColor="text1"/>
          <w:shd w:val="clear" w:color="auto" w:fill="FFFFFF"/>
        </w:rPr>
      </w:pPr>
      <w:r>
        <w:rPr>
          <w:rStyle w:val="Siln"/>
          <w:rFonts w:cstheme="minorHAnsi"/>
          <w:color w:val="000000" w:themeColor="text1"/>
          <w:shd w:val="clear" w:color="auto" w:fill="FFFFFF"/>
        </w:rPr>
        <w:t xml:space="preserve">BOLUS INZULÍN </w:t>
      </w:r>
    </w:p>
    <w:p w14:paraId="43706E9D" w14:textId="4158CAB3" w:rsidR="008E5EA8" w:rsidRPr="008E5EA8" w:rsidRDefault="008E5EA8" w:rsidP="008E5EA8">
      <w:pPr>
        <w:tabs>
          <w:tab w:val="right" w:pos="9072"/>
        </w:tabs>
        <w:spacing w:before="240"/>
        <w:jc w:val="both"/>
        <w:rPr>
          <w:rFonts w:cstheme="minorHAnsi"/>
          <w:color w:val="000000" w:themeColor="text1"/>
          <w:shd w:val="clear" w:color="auto" w:fill="FFFFFF"/>
        </w:rPr>
      </w:pPr>
      <w:r w:rsidRPr="008E5EA8">
        <w:rPr>
          <w:rFonts w:cstheme="minorHAnsi"/>
          <w:color w:val="000000" w:themeColor="text1"/>
          <w:shd w:val="clear" w:color="auto" w:fill="FFFFFF"/>
        </w:rPr>
        <w:t>Dávkuje sa podľa aktuálnej situácie, ktorá je nad rámec diabetického režimu, teda pri väčšom prijme potravy alebo pri športovej aktivite. Označuje sa aj pojmom </w:t>
      </w:r>
      <w:r w:rsidRPr="008E5EA8"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>„bolus</w:t>
      </w:r>
      <w:r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>ová</w:t>
      </w:r>
      <w:r w:rsidRPr="008E5EA8"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 xml:space="preserve"> dávka“</w:t>
      </w:r>
      <w:r w:rsidRPr="008E5EA8">
        <w:rPr>
          <w:rFonts w:cstheme="minorHAnsi"/>
          <w:color w:val="000000" w:themeColor="text1"/>
          <w:shd w:val="clear" w:color="auto" w:fill="FFFFFF"/>
        </w:rPr>
        <w:t>. Inzulín sa vylúči vtedy, ak zjete viac jedla ako ste mali v plánovacom režime a je potrebné zníži</w:t>
      </w:r>
      <w:r>
        <w:rPr>
          <w:rFonts w:cstheme="minorHAnsi"/>
          <w:color w:val="000000" w:themeColor="text1"/>
          <w:shd w:val="clear" w:color="auto" w:fill="FFFFFF"/>
        </w:rPr>
        <w:t>ť vysokú glykémiu</w:t>
      </w:r>
      <w:r w:rsidRPr="008E5EA8">
        <w:rPr>
          <w:rFonts w:cstheme="minorHAnsi"/>
          <w:color w:val="000000" w:themeColor="text1"/>
          <w:shd w:val="clear" w:color="auto" w:fill="FFFFFF"/>
        </w:rPr>
        <w:t xml:space="preserve"> pomocou inzulínu.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Ak cukor nie je spracovaný inzulínom, cukor sa hromadí v krvi a dochádza k hyperglykémii.</w:t>
      </w:r>
      <w:r w:rsidRPr="008E5EA8">
        <w:rPr>
          <w:rFonts w:cstheme="minorHAnsi"/>
          <w:color w:val="000000" w:themeColor="text1"/>
          <w:shd w:val="clear" w:color="auto" w:fill="FFFFFF"/>
        </w:rPr>
        <w:t> Telo nezískava energiu z prijatého cukru, i keď je ho v krvi veľa, ale len z tuku.</w:t>
      </w:r>
      <w:r>
        <w:rPr>
          <w:rFonts w:cstheme="minorHAnsi"/>
          <w:color w:val="000000" w:themeColor="text1"/>
          <w:shd w:val="clear" w:color="auto" w:fill="FFFFFF"/>
        </w:rPr>
        <w:t xml:space="preserve"> Pri dlhodobej hyperglykémii dochádza ku ketoacidóze (nebezpečný stav kedy telo vylučuje toxické ketolátky</w:t>
      </w:r>
      <w:r w:rsidRPr="008E5EA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E5EA8">
        <w:rPr>
          <w:rFonts w:ascii="Helvetica" w:hAnsi="Helvetica" w:cs="Helvetica"/>
          <w:color w:val="000000" w:themeColor="text1"/>
          <w:shd w:val="clear" w:color="auto" w:fill="FFFFFF"/>
        </w:rPr>
        <w:t>)</w:t>
      </w:r>
    </w:p>
    <w:p w14:paraId="1324C76C" w14:textId="09A1C92A" w:rsidR="00885258" w:rsidRDefault="00885258" w:rsidP="008E5EA8">
      <w:pPr>
        <w:tabs>
          <w:tab w:val="right" w:pos="9072"/>
        </w:tabs>
        <w:jc w:val="center"/>
        <w:rPr>
          <w:rFonts w:cstheme="minorHAnsi"/>
          <w:color w:val="000000" w:themeColor="text1"/>
        </w:rPr>
      </w:pPr>
    </w:p>
    <w:p w14:paraId="1EAF17D1" w14:textId="61050F40" w:rsidR="008E5EA8" w:rsidRDefault="008E5EA8" w:rsidP="008E5EA8">
      <w:pPr>
        <w:tabs>
          <w:tab w:val="right" w:pos="9072"/>
        </w:tabs>
        <w:jc w:val="center"/>
        <w:rPr>
          <w:rFonts w:cstheme="minorHAnsi"/>
          <w:b/>
          <w:color w:val="000000" w:themeColor="text1"/>
        </w:rPr>
      </w:pPr>
      <w:r w:rsidRPr="008E5EA8">
        <w:rPr>
          <w:rFonts w:cstheme="minorHAnsi"/>
          <w:b/>
          <w:color w:val="000000" w:themeColor="text1"/>
        </w:rPr>
        <w:t>BAZÁLNY INZULÍN</w:t>
      </w:r>
    </w:p>
    <w:p w14:paraId="1A2706B5" w14:textId="79E0E1A8" w:rsidR="008E5EA8" w:rsidRPr="008E5EA8" w:rsidRDefault="008E5EA8" w:rsidP="008E5EA8">
      <w:pPr>
        <w:tabs>
          <w:tab w:val="right" w:pos="9072"/>
        </w:tabs>
        <w:jc w:val="both"/>
        <w:rPr>
          <w:rFonts w:cstheme="minorHAnsi"/>
          <w:b/>
          <w:color w:val="000000" w:themeColor="text1"/>
        </w:rPr>
      </w:pPr>
      <w:r w:rsidRPr="008E5EA8">
        <w:rPr>
          <w:rFonts w:cstheme="minorHAnsi"/>
          <w:color w:val="000000" w:themeColor="text1"/>
          <w:shd w:val="clear" w:color="auto" w:fill="FFFFFF"/>
        </w:rPr>
        <w:t>Druhým typom inzulínu je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bazálny</w:t>
      </w:r>
      <w:r w:rsidRPr="008E5EA8">
        <w:rPr>
          <w:rFonts w:cstheme="minorHAnsi"/>
          <w:color w:val="000000" w:themeColor="text1"/>
          <w:shd w:val="clear" w:color="auto" w:fill="FFFFFF"/>
        </w:rPr>
        <w:t>, ktorý sa vylučuje približne v rovnakom množstve, nepretržite 24 hodín, je označovaný aj ako permanentný inzulín.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Jeho úlohou je udržať hladinu cukru v krvi v norme tak, aby nedošlo k náhlej strate energie</w:t>
      </w:r>
      <w:r w:rsidRPr="008E5EA8">
        <w:rPr>
          <w:rFonts w:cstheme="minorHAnsi"/>
          <w:color w:val="000000" w:themeColor="text1"/>
          <w:shd w:val="clear" w:color="auto" w:fill="FFFFFF"/>
        </w:rPr>
        <w:t> a komplikáciám.</w:t>
      </w:r>
    </w:p>
    <w:p w14:paraId="7E49647B" w14:textId="0DE24452" w:rsidR="00885258" w:rsidRPr="008E5EA8" w:rsidRDefault="00885258">
      <w:pPr>
        <w:rPr>
          <w:b/>
          <w:color w:val="000000" w:themeColor="text1"/>
        </w:rPr>
      </w:pPr>
    </w:p>
    <w:p w14:paraId="3C63B22A" w14:textId="77777777" w:rsidR="00885258" w:rsidRDefault="00885258">
      <w:r>
        <w:br w:type="page"/>
      </w:r>
    </w:p>
    <w:p w14:paraId="653719B6" w14:textId="593C945C" w:rsidR="00885258" w:rsidRDefault="00885258"/>
    <w:p w14:paraId="512944AF" w14:textId="77777777" w:rsidR="00DE54F2" w:rsidRDefault="00885258">
      <w:r>
        <w:br w:type="page"/>
      </w:r>
    </w:p>
    <w:tbl>
      <w:tblPr>
        <w:tblStyle w:val="Mriekatabuky"/>
        <w:tblpPr w:leftFromText="141" w:rightFromText="141" w:vertAnchor="page" w:horzAnchor="margin" w:tblpY="1189"/>
        <w:tblW w:w="5000" w:type="pct"/>
        <w:tblInd w:w="0" w:type="dxa"/>
        <w:tblLook w:val="04A0" w:firstRow="1" w:lastRow="0" w:firstColumn="1" w:lastColumn="0" w:noHBand="0" w:noVBand="1"/>
      </w:tblPr>
      <w:tblGrid>
        <w:gridCol w:w="2421"/>
        <w:gridCol w:w="1408"/>
        <w:gridCol w:w="5459"/>
      </w:tblGrid>
      <w:tr w:rsidR="00DE54F2" w14:paraId="37AE9FB7" w14:textId="77777777" w:rsidTr="008316BE">
        <w:trPr>
          <w:trHeight w:val="30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CD8CC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 xml:space="preserve">Podskupiny </w:t>
            </w:r>
            <w:r w:rsidRPr="00DE54F2">
              <w:rPr>
                <w:b/>
                <w:bCs/>
                <w:color w:val="000000"/>
                <w:sz w:val="18"/>
                <w:szCs w:val="18"/>
              </w:rPr>
              <w:t>CGM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5E12D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>Finančný limit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C57BC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>Indikačné obmedzenie</w:t>
            </w:r>
          </w:p>
        </w:tc>
      </w:tr>
      <w:tr w:rsidR="00DE54F2" w14:paraId="69535CBC" w14:textId="77777777" w:rsidTr="008316BE">
        <w:trPr>
          <w:trHeight w:val="1726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EFD8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 CGM – Glukózové senzory s dobou              snímania 6-7 dní</w:t>
            </w:r>
          </w:p>
          <w:p w14:paraId="33CB0C6F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 CGM – Glukózové senzory s dobou              snímania 10 dní</w:t>
            </w:r>
          </w:p>
          <w:p w14:paraId="0FA8C56F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 CGM – Glukózové senzory s dobou              snímania 14 dní</w:t>
            </w:r>
          </w:p>
          <w:p w14:paraId="58AAF543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 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FDF30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1 900,00 €/rok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F1BA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Deti do dovŕšenia 19. roku veku s DM 1. typu,</w:t>
            </w:r>
            <w:r w:rsidRPr="00DE54F2">
              <w:rPr>
                <w:color w:val="538135" w:themeColor="accent6" w:themeShade="BF"/>
                <w:sz w:val="18"/>
                <w:szCs w:val="18"/>
              </w:rPr>
              <w:t xml:space="preserve"> </w:t>
            </w:r>
            <w:r w:rsidRPr="00DE54F2">
              <w:rPr>
                <w:sz w:val="18"/>
                <w:szCs w:val="18"/>
              </w:rPr>
              <w:t>ktoré sú na inzulínovej pumpe alebo intenzifikovanej inzulínovej terapii; s potenciálom zlepšenia kompenzácie alebo jej udržania či iného medicínskeho benefitu deklarovaného navrhujúcim lekárom. Po každom roku hradenej liečby zhodnotí ošetrujúci lekár opodstatnenosť pokračovania úhrady v zdravotnej dokumentácii pacienta (v rozsahu: % dokázateľného využitia senzorov uhradených v uplynulom roku a dosiahnutie/nedosiahnutie medicínskeho benefitu).</w:t>
            </w:r>
          </w:p>
        </w:tc>
      </w:tr>
      <w:tr w:rsidR="00DE54F2" w14:paraId="149FB677" w14:textId="77777777" w:rsidTr="008316BE">
        <w:trPr>
          <w:trHeight w:val="189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955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 CGM – Glukózové senzory s dobou              snímania 6-7 dní</w:t>
            </w:r>
          </w:p>
          <w:p w14:paraId="76837D9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2D7669F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32CC0DA9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D992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1 250,00 €/rok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9353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DM 1. typu so syndrómom neuvedomovania si hypo-glykémie, pacienti s veľmi vysokým kardiovaskulárnym rizikom, ktorí sú indikovaní na IP s funkciou LGS (low glucose suspend) alebo PLGM (predictive low glucose management).</w:t>
            </w:r>
            <w:r w:rsidRPr="00DE54F2">
              <w:rPr>
                <w:sz w:val="18"/>
                <w:szCs w:val="18"/>
              </w:rPr>
              <w:t xml:space="preserve"> Prehodnotenie úhrady po každom roku liečby zdravotnou poisťovňou na základe žiadosti ošetrujúceho lekára a pri dokázateľnom využití minimálne 90 % senzorov uhradených v uplynulom roku a dosiahnutom medicínskom benefite.</w:t>
            </w:r>
          </w:p>
        </w:tc>
      </w:tr>
      <w:tr w:rsidR="00DE54F2" w14:paraId="672063A0" w14:textId="77777777" w:rsidTr="008316BE">
        <w:trPr>
          <w:trHeight w:val="189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A881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 CGM – Glukózové senzory s dobou              snímania 6-7 dní</w:t>
            </w:r>
          </w:p>
          <w:p w14:paraId="62783C52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39AEFF5D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09876A01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A6C53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850,00 €/rok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7C53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DM 1. typu na IP a ITT s potenciálom zlepšenia kompenzácie alebo jej udržania či iného medicínskeho benefitu deklarovaného navrhujúcim lekárom</w:t>
            </w:r>
            <w:r w:rsidRPr="00DE54F2">
              <w:rPr>
                <w:sz w:val="18"/>
                <w:szCs w:val="18"/>
              </w:rPr>
              <w:t>. Prehodnotenie úhrady po každom roku liečby zdravotnou poisťovňou na základe žiadosti ošetrujúceho lekára a pri dokázateľnom využití minimálne 90 % senzorov uhradených v uplynulom roku a dosiahnutom medicínskom benefite.</w:t>
            </w:r>
          </w:p>
        </w:tc>
      </w:tr>
      <w:tr w:rsidR="00DE54F2" w14:paraId="54458D52" w14:textId="77777777" w:rsidTr="008316BE">
        <w:trPr>
          <w:trHeight w:val="1845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EB6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 CGM – Glukózové senzory s dobou              snímania 6-7 dní</w:t>
            </w:r>
          </w:p>
          <w:p w14:paraId="3245DF6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3D985E77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196CD23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AA1F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1 780,00 €/rok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06A2A" w14:textId="77777777" w:rsidR="00DE54F2" w:rsidRPr="00DE54F2" w:rsidRDefault="00DE54F2" w:rsidP="00DE54F2">
            <w:pPr>
              <w:rPr>
                <w:b/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Gravidné diabetičky 1 typu</w:t>
            </w:r>
          </w:p>
        </w:tc>
      </w:tr>
    </w:tbl>
    <w:p w14:paraId="04147BA5" w14:textId="3698AE48" w:rsidR="006A0E9F" w:rsidRDefault="005924D0">
      <w:hyperlink r:id="rId7" w:history="1">
        <w:r w:rsidR="006A0E9F" w:rsidRPr="006A0E9F">
          <w:rPr>
            <w:rStyle w:val="Hypertextovprepojenie"/>
          </w:rPr>
          <w:t>Ministerstvo zdravotníctva Slovenskej republiky (gov.sk)</w:t>
        </w:r>
      </w:hyperlink>
    </w:p>
    <w:p w14:paraId="00C69672" w14:textId="77777777" w:rsidR="006A0E9F" w:rsidRDefault="006A0E9F">
      <w:r>
        <w:br w:type="page"/>
      </w:r>
    </w:p>
    <w:p w14:paraId="2E47E21D" w14:textId="4910D56C" w:rsidR="006A0E9F" w:rsidRDefault="006A0E9F"/>
    <w:p w14:paraId="25D86282" w14:textId="77777777" w:rsidR="006A0E9F" w:rsidRDefault="006A0E9F">
      <w:r>
        <w:br w:type="page"/>
      </w:r>
    </w:p>
    <w:p w14:paraId="0043EE12" w14:textId="5FA2EC7F" w:rsidR="006A0E9F" w:rsidRDefault="006A0E9F"/>
    <w:p w14:paraId="0857BBE0" w14:textId="77777777" w:rsidR="006A0E9F" w:rsidRDefault="006A0E9F">
      <w:r>
        <w:br w:type="page"/>
      </w:r>
    </w:p>
    <w:p w14:paraId="569CFD01" w14:textId="044DA264" w:rsidR="006A0E9F" w:rsidRDefault="006A0E9F"/>
    <w:p w14:paraId="315B8A08" w14:textId="77777777" w:rsidR="006A0E9F" w:rsidRDefault="006A0E9F">
      <w:r>
        <w:br w:type="page"/>
      </w:r>
    </w:p>
    <w:p w14:paraId="3186328A" w14:textId="77777777" w:rsidR="00885258" w:rsidRDefault="00885258"/>
    <w:p w14:paraId="1B02E5F4" w14:textId="1C8DCF10" w:rsidR="00885258" w:rsidRDefault="00885258"/>
    <w:p w14:paraId="074D65C5" w14:textId="77777777" w:rsidR="00885258" w:rsidRDefault="00885258">
      <w:r>
        <w:br w:type="page"/>
      </w:r>
    </w:p>
    <w:p w14:paraId="1EE399BE" w14:textId="18A20DFD" w:rsidR="00885258" w:rsidRDefault="00885258"/>
    <w:p w14:paraId="1BFF6693" w14:textId="77777777" w:rsidR="00885258" w:rsidRDefault="00885258">
      <w:r>
        <w:br w:type="page"/>
      </w:r>
    </w:p>
    <w:p w14:paraId="7592B7CC" w14:textId="7DA3EF54" w:rsidR="00885258" w:rsidRDefault="00885258"/>
    <w:p w14:paraId="1521623A" w14:textId="77777777" w:rsidR="00885258" w:rsidRDefault="00885258">
      <w:r>
        <w:br w:type="page"/>
      </w:r>
    </w:p>
    <w:p w14:paraId="425CCFFD" w14:textId="418B21CF" w:rsidR="00885258" w:rsidRDefault="00885258"/>
    <w:p w14:paraId="119CD54C" w14:textId="77777777" w:rsidR="00885258" w:rsidRDefault="00885258">
      <w:r>
        <w:br w:type="page"/>
      </w:r>
    </w:p>
    <w:p w14:paraId="7CE6E925" w14:textId="658F258B" w:rsidR="00885258" w:rsidRDefault="00885258"/>
    <w:p w14:paraId="3FA041A7" w14:textId="77777777" w:rsidR="00885258" w:rsidRDefault="00885258">
      <w:r>
        <w:br w:type="page"/>
      </w:r>
    </w:p>
    <w:p w14:paraId="11257892" w14:textId="6F328526" w:rsidR="00885258" w:rsidRDefault="00885258"/>
    <w:p w14:paraId="002AE3EA" w14:textId="014A1C03" w:rsidR="00885258" w:rsidRDefault="00885258">
      <w:r>
        <w:br w:type="page"/>
      </w:r>
      <w:r w:rsidR="006A0E9F">
        <w:t xml:space="preserve">Zoznam použitej literatúry </w:t>
      </w:r>
    </w:p>
    <w:p w14:paraId="13214B13" w14:textId="38C77468" w:rsidR="006A0E9F" w:rsidRDefault="005924D0">
      <w:hyperlink r:id="rId8" w:history="1">
        <w:r w:rsidR="006A0E9F">
          <w:rPr>
            <w:rStyle w:val="Hypertextovprepojenie"/>
          </w:rPr>
          <w:t>Ministerstvo zdravotníctva Slovenskej republiky (gov.sk)</w:t>
        </w:r>
      </w:hyperlink>
    </w:p>
    <w:p w14:paraId="5AD31752" w14:textId="2B4DE4DF" w:rsidR="00885258" w:rsidRDefault="00885258"/>
    <w:p w14:paraId="6651FA5A" w14:textId="77777777" w:rsidR="00885258" w:rsidRDefault="00885258">
      <w:r>
        <w:br w:type="page"/>
      </w:r>
    </w:p>
    <w:p w14:paraId="3D2ABAD2" w14:textId="77777777" w:rsidR="00885258" w:rsidRDefault="00885258"/>
    <w:sectPr w:rsidR="00885258" w:rsidSect="006A0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FC9A7" w14:textId="77777777" w:rsidR="00DD4950" w:rsidRDefault="00DD4950" w:rsidP="00EE6065">
      <w:pPr>
        <w:spacing w:after="0" w:line="240" w:lineRule="auto"/>
      </w:pPr>
      <w:r>
        <w:separator/>
      </w:r>
    </w:p>
  </w:endnote>
  <w:endnote w:type="continuationSeparator" w:id="0">
    <w:p w14:paraId="3410DD4F" w14:textId="77777777" w:rsidR="00DD4950" w:rsidRDefault="00DD4950" w:rsidP="00EE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31180" w14:textId="77777777" w:rsidR="00DD4950" w:rsidRDefault="00DD4950" w:rsidP="00EE6065">
      <w:pPr>
        <w:spacing w:after="0" w:line="240" w:lineRule="auto"/>
      </w:pPr>
      <w:r>
        <w:separator/>
      </w:r>
    </w:p>
  </w:footnote>
  <w:footnote w:type="continuationSeparator" w:id="0">
    <w:p w14:paraId="53D31509" w14:textId="77777777" w:rsidR="00DD4950" w:rsidRDefault="00DD4950" w:rsidP="00EE6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58"/>
    <w:rsid w:val="00035CE3"/>
    <w:rsid w:val="00074913"/>
    <w:rsid w:val="000771EA"/>
    <w:rsid w:val="00083D5A"/>
    <w:rsid w:val="0008601D"/>
    <w:rsid w:val="000E7F21"/>
    <w:rsid w:val="00127F34"/>
    <w:rsid w:val="002D1340"/>
    <w:rsid w:val="002E22AD"/>
    <w:rsid w:val="00385753"/>
    <w:rsid w:val="00455642"/>
    <w:rsid w:val="00456F32"/>
    <w:rsid w:val="004A3C4A"/>
    <w:rsid w:val="00582E79"/>
    <w:rsid w:val="005924D0"/>
    <w:rsid w:val="0062780D"/>
    <w:rsid w:val="006A0E9F"/>
    <w:rsid w:val="006B1195"/>
    <w:rsid w:val="006F0161"/>
    <w:rsid w:val="00766C93"/>
    <w:rsid w:val="007B0C8A"/>
    <w:rsid w:val="008316BE"/>
    <w:rsid w:val="00885258"/>
    <w:rsid w:val="008E5EA8"/>
    <w:rsid w:val="00961F08"/>
    <w:rsid w:val="00A14829"/>
    <w:rsid w:val="00B723EB"/>
    <w:rsid w:val="00C45159"/>
    <w:rsid w:val="00C65485"/>
    <w:rsid w:val="00CC647D"/>
    <w:rsid w:val="00CF6FF9"/>
    <w:rsid w:val="00D007D3"/>
    <w:rsid w:val="00D9643B"/>
    <w:rsid w:val="00DA0E36"/>
    <w:rsid w:val="00DB4FE4"/>
    <w:rsid w:val="00DC1796"/>
    <w:rsid w:val="00DD4950"/>
    <w:rsid w:val="00DE54F2"/>
    <w:rsid w:val="00DF1C26"/>
    <w:rsid w:val="00EB35E0"/>
    <w:rsid w:val="00EE6065"/>
    <w:rsid w:val="00F24EEE"/>
    <w:rsid w:val="00F37F95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3F85"/>
  <w15:docId w15:val="{EE2A9EC8-135C-4F96-995D-260D82B1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31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EB35E0"/>
    <w:rPr>
      <w:b/>
      <w:bCs/>
    </w:rPr>
  </w:style>
  <w:style w:type="table" w:styleId="Mriekatabuky">
    <w:name w:val="Table Grid"/>
    <w:basedOn w:val="Normlnatabuka"/>
    <w:uiPriority w:val="59"/>
    <w:rsid w:val="00DE54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sk-S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6A0E9F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E6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E6065"/>
  </w:style>
  <w:style w:type="paragraph" w:styleId="Pta">
    <w:name w:val="footer"/>
    <w:basedOn w:val="Normlny"/>
    <w:link w:val="PtaChar"/>
    <w:uiPriority w:val="99"/>
    <w:unhideWhenUsed/>
    <w:rsid w:val="00EE6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6065"/>
  </w:style>
  <w:style w:type="character" w:customStyle="1" w:styleId="Nadpis2Char">
    <w:name w:val="Nadpis 2 Char"/>
    <w:basedOn w:val="Predvolenpsmoodseku"/>
    <w:link w:val="Nadpis2"/>
    <w:uiPriority w:val="9"/>
    <w:rsid w:val="008316BE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83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5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gov.sk/Clanok?zkzp-202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.gov.sk/Clanok?zkzp-2024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202C-01D3-496E-A049-6F256BD1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uzivatel</cp:lastModifiedBy>
  <cp:revision>2</cp:revision>
  <dcterms:created xsi:type="dcterms:W3CDTF">2024-01-21T19:39:00Z</dcterms:created>
  <dcterms:modified xsi:type="dcterms:W3CDTF">2024-01-21T19:39:00Z</dcterms:modified>
</cp:coreProperties>
</file>