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F4" w:rsidRPr="00A948F4" w:rsidRDefault="00A948F4" w:rsidP="00A948F4">
      <w:pPr>
        <w:pStyle w:val="Normlnywebov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2"/>
          <w:szCs w:val="15"/>
          <w:highlight w:val="yellow"/>
        </w:rPr>
      </w:pPr>
      <w:r>
        <w:rPr>
          <w:color w:val="000000"/>
          <w:sz w:val="27"/>
          <w:szCs w:val="27"/>
        </w:rPr>
        <w:t>Z hľadiska modernej fyziky rozoznávame štyri druhy </w:t>
      </w:r>
      <w:r>
        <w:rPr>
          <w:rStyle w:val="tlzkladntext3kurzvacharcharchar"/>
          <w:color w:val="000000"/>
          <w:sz w:val="27"/>
          <w:szCs w:val="27"/>
        </w:rPr>
        <w:t>vzájomného pôsobenia</w:t>
      </w:r>
      <w:r>
        <w:rPr>
          <w:rFonts w:ascii="MS Mincho" w:eastAsia="MS Mincho" w:hAnsi="MS Mincho" w:hint="eastAsia"/>
          <w:i/>
          <w:iCs/>
          <w:color w:val="000000"/>
          <w:sz w:val="27"/>
          <w:szCs w:val="27"/>
        </w:rPr>
        <w:t> </w:t>
      </w:r>
      <w:r>
        <w:rPr>
          <w:rStyle w:val="tlzkladntext3kurzvacharcharchar"/>
          <w:i/>
          <w:iCs/>
          <w:color w:val="000000"/>
          <w:sz w:val="27"/>
          <w:szCs w:val="27"/>
        </w:rPr>
        <w:t>- interakcií:</w:t>
      </w:r>
      <w:r>
        <w:rPr>
          <w:i/>
          <w:iCs/>
          <w:color w:val="000000"/>
          <w:sz w:val="27"/>
          <w:szCs w:val="27"/>
        </w:rPr>
        <w:br/>
      </w:r>
      <w:r w:rsidRPr="00A948F4">
        <w:rPr>
          <w:b/>
          <w:bCs/>
          <w:i/>
          <w:iCs/>
          <w:color w:val="000000"/>
          <w:sz w:val="27"/>
          <w:szCs w:val="27"/>
          <w:highlight w:val="yellow"/>
        </w:rPr>
        <w:t>1. </w:t>
      </w:r>
      <w:bookmarkStart w:id="0" w:name="Gravitačná_interakcia"/>
      <w:r w:rsidRPr="00A948F4">
        <w:rPr>
          <w:b/>
          <w:bCs/>
          <w:i/>
          <w:iCs/>
          <w:color w:val="000000"/>
          <w:sz w:val="27"/>
          <w:szCs w:val="27"/>
          <w:highlight w:val="yellow"/>
        </w:rPr>
        <w:t>Gravitačná interakcia</w:t>
      </w:r>
      <w:bookmarkEnd w:id="0"/>
      <w:r w:rsidRPr="00A948F4">
        <w:rPr>
          <w:color w:val="000000"/>
          <w:sz w:val="27"/>
          <w:szCs w:val="27"/>
          <w:highlight w:val="yellow"/>
        </w:rPr>
        <w:t> </w:t>
      </w:r>
      <w:bookmarkStart w:id="1" w:name="Gravitacna_interakcia"/>
      <w:bookmarkEnd w:id="1"/>
      <w:r w:rsidRPr="00A948F4">
        <w:rPr>
          <w:color w:val="000000"/>
          <w:sz w:val="27"/>
          <w:szCs w:val="27"/>
          <w:highlight w:val="yellow"/>
        </w:rPr>
        <w:t>– existuje medzi všetkými hmotnými objektmi t.j. každé teleso, ktoré má hmotnosť pôsobí na iné teleso gravitačnou interakciou</w:t>
      </w:r>
      <w:r>
        <w:rPr>
          <w:color w:val="000000"/>
          <w:sz w:val="27"/>
          <w:szCs w:val="27"/>
        </w:rPr>
        <w:t xml:space="preserve"> (napr. Zem a Slnko).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Gravitace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je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zdaleka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nejslabší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interakce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, ale má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největší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dosah. Termín „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největší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dosah“ odkazuje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nejen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na to, že klesá s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kvadrátem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vzdálenosti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, ale i že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její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účinek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není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vyrušen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účinky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opačně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nabitých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těles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jako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je tomu u elektromagnetické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síly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.</w:t>
      </w:r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Na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rozdíl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od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ostatních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interakcí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,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gravitace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působí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univerzálně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na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všechny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látky a energie.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Vzhledem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k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jejímu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dosahu a tomu, že je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úměrná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jen hmotnosti objektu a ne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například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>znaménku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 náboje, </w:t>
      </w:r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je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rozhodující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silou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interakce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velmi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vzdálených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objektů</w:t>
      </w:r>
      <w:proofErr w:type="spellEnd"/>
      <w:r w:rsidRPr="00A948F4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.</w:t>
      </w:r>
      <w:r w:rsidRPr="00A948F4">
        <w:rPr>
          <w:b/>
          <w:bCs/>
          <w:i/>
          <w:iCs/>
          <w:color w:val="000000"/>
          <w:sz w:val="27"/>
          <w:szCs w:val="27"/>
        </w:rPr>
        <w:br/>
      </w:r>
      <w:r>
        <w:rPr>
          <w:b/>
          <w:bCs/>
          <w:i/>
          <w:iCs/>
          <w:color w:val="000000"/>
          <w:sz w:val="27"/>
          <w:szCs w:val="27"/>
        </w:rPr>
        <w:t>2</w:t>
      </w:r>
      <w:r>
        <w:rPr>
          <w:b/>
          <w:bCs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Elektromagnetická interakcia</w:t>
      </w:r>
      <w:r>
        <w:rPr>
          <w:color w:val="000000"/>
          <w:sz w:val="27"/>
          <w:szCs w:val="27"/>
        </w:rPr>
        <w:t> – </w:t>
      </w:r>
      <w:r>
        <w:rPr>
          <w:rFonts w:ascii="Arial" w:hAnsi="Arial" w:cs="Arial"/>
          <w:color w:val="000000"/>
          <w:sz w:val="15"/>
          <w:szCs w:val="15"/>
        </w:rPr>
        <w:br/>
      </w:r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Elektromagnetická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síla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působící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mezi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elektricky nabitými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částicemi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je často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rozdělována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na elektrostatickou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sílu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,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působící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na nabitá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tělesa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v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klidu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, a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kombinaci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elektrické a magnetické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síly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působící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na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tělesa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pohybující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se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relativně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vůči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sobě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.</w:t>
      </w:r>
    </w:p>
    <w:p w:rsidR="00A948F4" w:rsidRPr="00A948F4" w:rsidRDefault="00A948F4" w:rsidP="00A948F4">
      <w:pPr>
        <w:pStyle w:val="Normlnywebov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2"/>
          <w:szCs w:val="15"/>
        </w:rPr>
      </w:pPr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Elektromagnetická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síla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je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poměrně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silná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ve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větších</w:t>
      </w:r>
      <w:proofErr w:type="spellEnd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 xml:space="preserve"> </w:t>
      </w:r>
      <w:proofErr w:type="spellStart"/>
      <w:r w:rsidRPr="00A948F4">
        <w:rPr>
          <w:rFonts w:ascii="Arial" w:hAnsi="Arial" w:cs="Arial"/>
          <w:color w:val="000000"/>
          <w:sz w:val="22"/>
          <w:szCs w:val="15"/>
          <w:highlight w:val="yellow"/>
        </w:rPr>
        <w:t>vzdálenostech</w:t>
      </w:r>
      <w:proofErr w:type="spellEnd"/>
    </w:p>
    <w:p w:rsidR="00E000EA" w:rsidRPr="00C33D4D" w:rsidRDefault="00A948F4">
      <w:pPr>
        <w:rPr>
          <w:vertAlign w:val="superscript"/>
        </w:rPr>
      </w:pPr>
      <w:r>
        <w:rPr>
          <w:color w:val="000000"/>
          <w:sz w:val="27"/>
          <w:szCs w:val="27"/>
        </w:rPr>
        <w:br/>
      </w:r>
      <w:r>
        <w:rPr>
          <w:b/>
          <w:bCs/>
          <w:i/>
          <w:iCs/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Slabá interakcia</w:t>
      </w:r>
      <w:r>
        <w:rPr>
          <w:color w:val="000000"/>
          <w:sz w:val="27"/>
          <w:szCs w:val="27"/>
        </w:rPr>
        <w:t xml:space="preserve"> – sa </w:t>
      </w:r>
      <w:r w:rsidR="00C33D4D">
        <w:br/>
      </w:r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Slabá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interakce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působí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na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všechny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leptony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a kvarky. Je to jediná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síla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působící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na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neutrino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(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působí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na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ně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i gravitační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síla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, ale tak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slabě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, že to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není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v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laboratorní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praxi možné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měřit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). Slabá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interakce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umožňuje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leptonům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a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kvarkům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interagovat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. Slabá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jaderná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interakce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je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zodpovědná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za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některé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atomární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jevy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jako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rozpad beta. Nosiči slabé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interakce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jsou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bosony</w:t>
      </w:r>
      <w:proofErr w:type="spellEnd"/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 xml:space="preserve"> W± a</w:t>
      </w:r>
      <w:r w:rsid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 </w:t>
      </w:r>
      <w:r w:rsidR="00C33D4D" w:rsidRPr="00C33D4D">
        <w:rPr>
          <w:rFonts w:ascii="Arial" w:hAnsi="Arial" w:cs="Arial"/>
          <w:color w:val="000000"/>
          <w:sz w:val="20"/>
          <w:szCs w:val="15"/>
          <w:highlight w:val="yellow"/>
          <w:shd w:val="clear" w:color="auto" w:fill="FFFFFF"/>
        </w:rPr>
        <w:t>Z</w:t>
      </w:r>
      <w:r w:rsidR="00C33D4D">
        <w:rPr>
          <w:rFonts w:ascii="Arial" w:hAnsi="Arial" w:cs="Arial"/>
          <w:color w:val="000000"/>
          <w:sz w:val="20"/>
          <w:szCs w:val="15"/>
          <w:shd w:val="clear" w:color="auto" w:fill="FFFFFF"/>
        </w:rPr>
        <w:t xml:space="preserve">. </w:t>
      </w:r>
      <w:r>
        <w:rPr>
          <w:color w:val="000000"/>
          <w:sz w:val="27"/>
          <w:szCs w:val="27"/>
        </w:rPr>
        <w:t>Pôsobenie slabej interakcie sa uplatňuje aj pri niektorých typoch hodiniek, kde vplyvom rozpadu častíc luminiscenčnej vrstvy dochádza k svetielkovaniu ciferníka v tme.</w:t>
      </w:r>
      <w:r w:rsidR="00C33D4D">
        <w:rPr>
          <w:color w:val="000000"/>
          <w:sz w:val="27"/>
          <w:szCs w:val="27"/>
        </w:rPr>
        <w:t xml:space="preserve"> 10</w:t>
      </w:r>
      <w:r w:rsidR="00C33D4D">
        <w:rPr>
          <w:color w:val="000000"/>
          <w:sz w:val="27"/>
          <w:szCs w:val="27"/>
          <w:vertAlign w:val="superscript"/>
        </w:rPr>
        <w:t>-15</w:t>
      </w:r>
      <w:r>
        <w:rPr>
          <w:color w:val="000000"/>
          <w:sz w:val="27"/>
          <w:szCs w:val="27"/>
        </w:rPr>
        <w:br/>
      </w:r>
      <w:r>
        <w:rPr>
          <w:b/>
          <w:bCs/>
          <w:i/>
          <w:iCs/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Silná interakcia</w:t>
      </w:r>
      <w:r>
        <w:rPr>
          <w:color w:val="000000"/>
          <w:sz w:val="27"/>
          <w:szCs w:val="27"/>
        </w:rPr>
        <w:t xml:space="preserve"> – </w:t>
      </w:r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Silná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jaderná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interakce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je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síla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držící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nukleony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a kvarky u sebe v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jádrech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atomů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, je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zde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natolik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silná, že udrží dva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protony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v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jádře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helia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,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přestože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se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elektromagneticky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odpuzují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.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Jejími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nosiči </w:t>
      </w:r>
      <w:proofErr w:type="spellStart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>jsou</w:t>
      </w:r>
      <w:proofErr w:type="spellEnd"/>
      <w:r w:rsidR="00C33D4D" w:rsidRPr="00C33D4D">
        <w:rPr>
          <w:rFonts w:ascii="Arial" w:hAnsi="Arial" w:cs="Arial"/>
          <w:color w:val="000000"/>
          <w:sz w:val="18"/>
          <w:szCs w:val="15"/>
          <w:highlight w:val="yellow"/>
          <w:shd w:val="clear" w:color="auto" w:fill="FFFFFF"/>
        </w:rPr>
        <w:t xml:space="preserve"> gluony.</w:t>
      </w:r>
      <w:r w:rsidR="00C33D4D">
        <w:rPr>
          <w:rFonts w:ascii="Arial" w:hAnsi="Arial" w:cs="Arial"/>
          <w:color w:val="000000"/>
          <w:sz w:val="18"/>
          <w:szCs w:val="15"/>
          <w:shd w:val="clear" w:color="auto" w:fill="FFFFFF"/>
        </w:rPr>
        <w:t>10</w:t>
      </w:r>
      <w:r w:rsidR="00C33D4D">
        <w:rPr>
          <w:rFonts w:ascii="Arial" w:hAnsi="Arial" w:cs="Arial"/>
          <w:color w:val="000000"/>
          <w:sz w:val="18"/>
          <w:szCs w:val="15"/>
          <w:shd w:val="clear" w:color="auto" w:fill="FFFFFF"/>
          <w:vertAlign w:val="superscript"/>
        </w:rPr>
        <w:t>-18</w:t>
      </w:r>
    </w:p>
    <w:sectPr w:rsidR="00E000EA" w:rsidRPr="00C33D4D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948F4"/>
    <w:rsid w:val="00610C31"/>
    <w:rsid w:val="00A948F4"/>
    <w:rsid w:val="00C33D4D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lzkladntext3kurzvacharcharchar">
    <w:name w:val="tlzkladntext3kurzvacharcharchar"/>
    <w:basedOn w:val="Predvolenpsmoodseku"/>
    <w:rsid w:val="00A948F4"/>
  </w:style>
  <w:style w:type="paragraph" w:styleId="Normlnywebov">
    <w:name w:val="Normal (Web)"/>
    <w:basedOn w:val="Normlny"/>
    <w:uiPriority w:val="99"/>
    <w:semiHidden/>
    <w:unhideWhenUsed/>
    <w:rsid w:val="00A9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2020-09-22T16:40:00Z</dcterms:created>
  <dcterms:modified xsi:type="dcterms:W3CDTF">2020-09-22T16:55:00Z</dcterms:modified>
</cp:coreProperties>
</file>