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2FB" w:rsidRDefault="004A32FB" w:rsidP="004A32FB">
      <w:pPr>
        <w:spacing w:before="100" w:beforeAutospacing="1" w:after="0" w:line="240" w:lineRule="auto"/>
        <w:ind w:right="-1"/>
        <w:jc w:val="center"/>
        <w:rPr>
          <w:rFonts w:eastAsia="Times New Roman" w:cs="Times New Roman"/>
          <w:b/>
          <w:color w:val="000000"/>
          <w:sz w:val="28"/>
          <w:szCs w:val="28"/>
          <w:lang w:eastAsia="sk-SK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sk-SK"/>
        </w:rPr>
        <w:t>AKADÉMIA OZBROJENÝCH SÍL</w:t>
      </w:r>
    </w:p>
    <w:p w:rsidR="004A32FB" w:rsidRDefault="004A32FB" w:rsidP="004A32FB">
      <w:pPr>
        <w:spacing w:before="100" w:beforeAutospacing="1" w:after="0" w:line="240" w:lineRule="auto"/>
        <w:ind w:right="-1"/>
        <w:jc w:val="center"/>
        <w:rPr>
          <w:rFonts w:eastAsia="Times New Roman" w:cs="Times New Roman"/>
          <w:b/>
          <w:color w:val="000000"/>
          <w:szCs w:val="24"/>
          <w:lang w:eastAsia="sk-SK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sk-SK"/>
        </w:rPr>
        <w:t>generála Milana Rastislava Štefánika</w:t>
      </w:r>
    </w:p>
    <w:p w:rsidR="004A32FB" w:rsidRDefault="004A32FB" w:rsidP="004A32FB">
      <w:pPr>
        <w:spacing w:before="100" w:beforeAutospacing="1"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spacing w:before="100" w:beforeAutospacing="1"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spacing w:before="100" w:beforeAutospacing="1"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spacing w:before="100" w:beforeAutospacing="1"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tabs>
          <w:tab w:val="left" w:pos="3374"/>
        </w:tabs>
        <w:spacing w:before="100" w:beforeAutospacing="1"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spacing w:before="100" w:beforeAutospacing="1" w:after="100" w:afterAutospacing="1"/>
        <w:ind w:right="-1"/>
        <w:jc w:val="center"/>
        <w:rPr>
          <w:rFonts w:eastAsia="Times New Roman" w:cs="Times New Roman"/>
          <w:b/>
          <w:color w:val="000000"/>
          <w:sz w:val="32"/>
          <w:szCs w:val="32"/>
          <w:lang w:eastAsia="sk-SK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sk-SK"/>
        </w:rPr>
        <w:t xml:space="preserve">    OCHRANA RANENÝCH, CHORÝCH A STROSKOTANCOV </w:t>
      </w:r>
    </w:p>
    <w:p w:rsidR="004A32FB" w:rsidRDefault="004A32FB" w:rsidP="004A32FB">
      <w:pPr>
        <w:spacing w:before="100" w:beforeAutospacing="1" w:after="100" w:afterAutospacing="1"/>
        <w:ind w:right="-1"/>
        <w:jc w:val="center"/>
        <w:rPr>
          <w:rFonts w:eastAsia="Times New Roman" w:cs="Times New Roman"/>
          <w:b/>
          <w:color w:val="000000"/>
          <w:sz w:val="32"/>
          <w:szCs w:val="32"/>
          <w:lang w:eastAsia="sk-SK"/>
        </w:rPr>
      </w:pPr>
    </w:p>
    <w:p w:rsidR="004A32FB" w:rsidRDefault="004A32FB" w:rsidP="004A32FB">
      <w:pPr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spacing w:before="100" w:beforeAutospacing="1" w:after="100" w:afterAutospacing="1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spacing w:before="100" w:beforeAutospacing="1" w:after="100" w:afterAutospacing="1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4A32FB" w:rsidRDefault="004A32FB" w:rsidP="004A32FB">
      <w:pPr>
        <w:spacing w:before="100" w:beforeAutospacing="1" w:after="100" w:afterAutospacing="1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CC009D" w:rsidRDefault="00CC009D" w:rsidP="004A32FB">
      <w:pPr>
        <w:spacing w:before="100" w:beforeAutospacing="1" w:after="100" w:afterAutospacing="1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CC009D" w:rsidRDefault="00CC009D" w:rsidP="004A32FB">
      <w:pPr>
        <w:spacing w:before="100" w:beforeAutospacing="1" w:after="100" w:afterAutospacing="1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CC009D" w:rsidRDefault="00CC009D" w:rsidP="00CC009D">
      <w:pPr>
        <w:spacing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CC009D" w:rsidRDefault="00CC009D" w:rsidP="00CC009D">
      <w:pPr>
        <w:spacing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</w:p>
    <w:p w:rsidR="00CC009D" w:rsidRDefault="004A32FB" w:rsidP="00CC009D">
      <w:pPr>
        <w:spacing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  <w:r>
        <w:rPr>
          <w:rFonts w:eastAsia="Times New Roman" w:cs="Times New Roman"/>
          <w:b/>
          <w:color w:val="000000"/>
          <w:szCs w:val="24"/>
          <w:lang w:eastAsia="sk-SK"/>
        </w:rPr>
        <w:t>Predmet: Medzinárodné humanitárne právo</w:t>
      </w:r>
    </w:p>
    <w:p w:rsidR="00CD291F" w:rsidRDefault="00CC009D" w:rsidP="00CD291F">
      <w:pPr>
        <w:spacing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</w:pPr>
      <w:r>
        <w:rPr>
          <w:rFonts w:eastAsia="Times New Roman" w:cs="Times New Roman"/>
          <w:b/>
          <w:color w:val="000000"/>
          <w:szCs w:val="24"/>
          <w:lang w:eastAsia="sk-SK"/>
        </w:rPr>
        <w:t>Voj.1.st. Nikola SUVÁKOVÁ</w:t>
      </w:r>
    </w:p>
    <w:p w:rsidR="00720A5A" w:rsidRPr="003F5B6D" w:rsidRDefault="003F5B6D" w:rsidP="00CD291F">
      <w:pPr>
        <w:spacing w:after="0"/>
        <w:ind w:right="-1"/>
        <w:rPr>
          <w:rFonts w:eastAsia="Times New Roman" w:cs="Times New Roman"/>
          <w:b/>
          <w:color w:val="000000"/>
          <w:sz w:val="32"/>
          <w:szCs w:val="32"/>
          <w:lang w:eastAsia="sk-SK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sk-SK"/>
        </w:rPr>
        <w:lastRenderedPageBreak/>
        <w:t>OBSAH</w:t>
      </w:r>
    </w:p>
    <w:p w:rsidR="00E965A7" w:rsidRDefault="003C7A38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rPr>
          <w:rFonts w:eastAsia="Times New Roman" w:cs="Times New Roman"/>
          <w:b/>
          <w:color w:val="000000"/>
          <w:szCs w:val="24"/>
          <w:lang w:eastAsia="sk-SK"/>
        </w:rPr>
        <w:fldChar w:fldCharType="begin"/>
      </w:r>
      <w:r w:rsidR="003F5B6D">
        <w:rPr>
          <w:rFonts w:eastAsia="Times New Roman" w:cs="Times New Roman"/>
          <w:b/>
          <w:color w:val="000000"/>
          <w:szCs w:val="24"/>
          <w:lang w:eastAsia="sk-SK"/>
        </w:rPr>
        <w:instrText xml:space="preserve"> TOC \o "1-3" \h \z \u </w:instrText>
      </w:r>
      <w:r>
        <w:rPr>
          <w:rFonts w:eastAsia="Times New Roman" w:cs="Times New Roman"/>
          <w:b/>
          <w:color w:val="000000"/>
          <w:szCs w:val="24"/>
          <w:lang w:eastAsia="sk-SK"/>
        </w:rPr>
        <w:fldChar w:fldCharType="separate"/>
      </w:r>
      <w:hyperlink w:anchor="_Toc57031716" w:history="1">
        <w:r w:rsidR="00E965A7" w:rsidRPr="00B844BE">
          <w:rPr>
            <w:rStyle w:val="Hypertextovprepojenie"/>
            <w:rFonts w:cs="Times New Roman"/>
            <w:noProof/>
          </w:rPr>
          <w:t>ÚVOD</w:t>
        </w:r>
        <w:r w:rsidR="00E965A7">
          <w:rPr>
            <w:noProof/>
            <w:webHidden/>
          </w:rPr>
          <w:tab/>
        </w:r>
        <w:r w:rsidR="00E965A7">
          <w:rPr>
            <w:noProof/>
            <w:webHidden/>
          </w:rPr>
          <w:fldChar w:fldCharType="begin"/>
        </w:r>
        <w:r w:rsidR="00E965A7">
          <w:rPr>
            <w:noProof/>
            <w:webHidden/>
          </w:rPr>
          <w:instrText xml:space="preserve"> PAGEREF _Toc57031716 \h </w:instrText>
        </w:r>
        <w:r w:rsidR="00E965A7">
          <w:rPr>
            <w:noProof/>
            <w:webHidden/>
          </w:rPr>
        </w:r>
        <w:r w:rsidR="00E965A7">
          <w:rPr>
            <w:noProof/>
            <w:webHidden/>
          </w:rPr>
          <w:fldChar w:fldCharType="separate"/>
        </w:r>
        <w:r w:rsidR="00E965A7">
          <w:rPr>
            <w:noProof/>
            <w:webHidden/>
          </w:rPr>
          <w:t>3</w:t>
        </w:r>
        <w:r w:rsidR="00E965A7">
          <w:rPr>
            <w:noProof/>
            <w:webHidden/>
          </w:rPr>
          <w:fldChar w:fldCharType="end"/>
        </w:r>
      </w:hyperlink>
    </w:p>
    <w:p w:rsidR="00E965A7" w:rsidRDefault="00E965A7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57031717" w:history="1">
        <w:r w:rsidRPr="00B844BE">
          <w:rPr>
            <w:rStyle w:val="Hypertextovprepojenie"/>
            <w:rFonts w:ascii="fedra-display-heavy" w:hAnsi="fedra-display-heavy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B844BE">
          <w:rPr>
            <w:rStyle w:val="Hypertextovprepojenie"/>
            <w:rFonts w:cs="Times New Roman"/>
            <w:noProof/>
          </w:rPr>
          <w:t>DEFINÍCIA CHRÁNENÝCH OSÔ</w:t>
        </w:r>
        <w:r w:rsidRPr="00B844BE">
          <w:rPr>
            <w:rStyle w:val="Hypertextovprepojenie"/>
            <w:rFonts w:ascii="fedra-display-heavy" w:hAnsi="fedra-display-heavy"/>
            <w:noProof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65A7" w:rsidRDefault="00E965A7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57031718" w:history="1">
        <w:r w:rsidRPr="00B844BE">
          <w:rPr>
            <w:rStyle w:val="Hypertextovprepojenie"/>
            <w:rFonts w:cs="Times New Roman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B844BE">
          <w:rPr>
            <w:rStyle w:val="Hypertextovprepojenie"/>
            <w:rFonts w:cs="Times New Roman"/>
            <w:noProof/>
          </w:rPr>
          <w:t>Ochrana, zaobchádzanie a starostlivosť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65A7" w:rsidRDefault="00E965A7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57031719" w:history="1">
        <w:r w:rsidRPr="00B844BE">
          <w:rPr>
            <w:rStyle w:val="Hypertextovprepojenie"/>
            <w:rFonts w:cs="Times New Roman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B844BE">
          <w:rPr>
            <w:rStyle w:val="Hypertextovprepojenie"/>
            <w:rFonts w:cs="Times New Roman"/>
            <w:noProof/>
          </w:rPr>
          <w:t>OCHRANA ZDRAVOTNÍCKYCH POVINNOSTÍ A  ZDRAVOTNÍCKYCH JEDNOTIEK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65A7" w:rsidRDefault="00E965A7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57031720" w:history="1">
        <w:r w:rsidRPr="00B844BE">
          <w:rPr>
            <w:rStyle w:val="Hypertextovprepojenie"/>
            <w:rFonts w:cs="Times New Roman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B844BE">
          <w:rPr>
            <w:rStyle w:val="Hypertextovprepojenie"/>
            <w:rFonts w:cs="Times New Roman"/>
            <w:noProof/>
          </w:rPr>
          <w:t>Hľadanie, zhromažďovanie a evakuovanie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65A7" w:rsidRDefault="00E965A7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57031721" w:history="1">
        <w:r w:rsidRPr="00B844BE">
          <w:rPr>
            <w:rStyle w:val="Hypertextovprepojenie"/>
            <w:rFonts w:cs="Times New Roman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B844BE">
          <w:rPr>
            <w:rStyle w:val="Hypertextovprepojenie"/>
            <w:rFonts w:cs="Times New Roman"/>
            <w:noProof/>
          </w:rPr>
          <w:t>MŔTVI A NEZVESTNÍ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965A7" w:rsidRDefault="00E965A7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57031722" w:history="1">
        <w:r w:rsidRPr="00B844BE">
          <w:rPr>
            <w:rStyle w:val="Hypertextovprepojenie"/>
            <w:rFonts w:cs="Times New Roman"/>
            <w:noProof/>
          </w:rPr>
          <w:t>ZÁVER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65A7" w:rsidRDefault="00E965A7">
      <w:pPr>
        <w:pStyle w:val="Obsah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57031723" w:history="1">
        <w:r w:rsidRPr="00B844BE">
          <w:rPr>
            <w:rStyle w:val="Hypertextovprepojenie"/>
            <w:rFonts w:cs="Times New Roman"/>
            <w:noProof/>
          </w:rPr>
          <w:t>ZOZNAM POUŽITEJ LITERATÚRY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_Toc57031723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0A5A" w:rsidRDefault="003C7A38" w:rsidP="00CD291F">
      <w:pPr>
        <w:spacing w:after="0"/>
        <w:ind w:right="-1"/>
        <w:rPr>
          <w:rFonts w:eastAsia="Times New Roman" w:cs="Times New Roman"/>
          <w:b/>
          <w:color w:val="000000"/>
          <w:szCs w:val="24"/>
          <w:lang w:eastAsia="sk-SK"/>
        </w:rPr>
        <w:sectPr w:rsidR="00720A5A" w:rsidSect="008B5B8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eastAsia="Times New Roman" w:cs="Times New Roman"/>
          <w:b/>
          <w:color w:val="000000"/>
          <w:szCs w:val="24"/>
          <w:lang w:eastAsia="sk-SK"/>
        </w:rPr>
        <w:fldChar w:fldCharType="end"/>
      </w:r>
    </w:p>
    <w:p w:rsidR="004A32FB" w:rsidRPr="00271619" w:rsidRDefault="00F51FE6" w:rsidP="00271619">
      <w:pPr>
        <w:pStyle w:val="Nadpis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55744204"/>
      <w:bookmarkStart w:id="1" w:name="_Toc57031716"/>
      <w:r w:rsidRPr="00271619">
        <w:rPr>
          <w:rFonts w:ascii="Times New Roman" w:hAnsi="Times New Roman" w:cs="Times New Roman"/>
          <w:color w:val="auto"/>
          <w:sz w:val="32"/>
          <w:szCs w:val="32"/>
        </w:rPr>
        <w:lastRenderedPageBreak/>
        <w:t>Ú</w:t>
      </w:r>
      <w:bookmarkEnd w:id="0"/>
      <w:r w:rsidR="00720A5A">
        <w:rPr>
          <w:rFonts w:ascii="Times New Roman" w:hAnsi="Times New Roman" w:cs="Times New Roman"/>
          <w:color w:val="auto"/>
          <w:sz w:val="32"/>
          <w:szCs w:val="32"/>
        </w:rPr>
        <w:t>VOD</w:t>
      </w:r>
      <w:bookmarkEnd w:id="1"/>
    </w:p>
    <w:p w:rsidR="007E335E" w:rsidRDefault="00F51FE6" w:rsidP="004A32FB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</w:r>
      <w:r w:rsidR="007E335E">
        <w:rPr>
          <w:rFonts w:cs="Times New Roman"/>
          <w:szCs w:val="24"/>
        </w:rPr>
        <w:t>Právna ochrana ranených, chorých a stroskotancov bola po prvýkrát stanovená už v roku 1864 v rámci prvého Ženevského dohovoru. V súčasnosti sú základnými prameňmi I. a II. Ženevský dohovor z 12. augusta 1949, ktoré sú revíziou predchádzajúcich zmlúv a I. Dodatkový protokol z roku 1977. Písané právo dopĺňajú aj pravidlá obyčajného práva</w:t>
      </w:r>
      <w:r w:rsidR="0049529E">
        <w:rPr>
          <w:rFonts w:cs="Times New Roman"/>
          <w:szCs w:val="24"/>
        </w:rPr>
        <w:t>.</w:t>
      </w:r>
    </w:p>
    <w:p w:rsidR="00DF2CB2" w:rsidRDefault="0049529E" w:rsidP="00DF2CB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Obidva Ženevské dohovory z roku 1949 definujú zhodne svoju pôsobnosť v čl.13, v rámci ktorého by sme ranených, chorých a stroskotancov mohli rozdeliť na </w:t>
      </w:r>
      <w:proofErr w:type="spellStart"/>
      <w:r>
        <w:rPr>
          <w:rFonts w:cs="Times New Roman"/>
          <w:szCs w:val="24"/>
        </w:rPr>
        <w:t>kombatantov</w:t>
      </w:r>
      <w:proofErr w:type="spellEnd"/>
      <w:r>
        <w:rPr>
          <w:rFonts w:cs="Times New Roman"/>
          <w:szCs w:val="24"/>
        </w:rPr>
        <w:t xml:space="preserve"> a </w:t>
      </w:r>
      <w:proofErr w:type="spellStart"/>
      <w:r>
        <w:rPr>
          <w:rFonts w:cs="Times New Roman"/>
          <w:szCs w:val="24"/>
        </w:rPr>
        <w:t>nekombatantov</w:t>
      </w:r>
      <w:proofErr w:type="spellEnd"/>
      <w:r>
        <w:rPr>
          <w:rFonts w:cs="Times New Roman"/>
          <w:szCs w:val="24"/>
        </w:rPr>
        <w:t xml:space="preserve">. Medzi </w:t>
      </w:r>
      <w:proofErr w:type="spellStart"/>
      <w:r>
        <w:rPr>
          <w:rFonts w:cs="Times New Roman"/>
          <w:szCs w:val="24"/>
        </w:rPr>
        <w:t>kombatantov</w:t>
      </w:r>
      <w:proofErr w:type="spellEnd"/>
      <w:r>
        <w:rPr>
          <w:rFonts w:cs="Times New Roman"/>
          <w:szCs w:val="24"/>
        </w:rPr>
        <w:t>, teda osoby oprávnené vykonávať akty násilia počas ozbrojeného konflik</w:t>
      </w:r>
      <w:r w:rsidR="00DF2CB2">
        <w:rPr>
          <w:rFonts w:cs="Times New Roman"/>
          <w:szCs w:val="24"/>
        </w:rPr>
        <w:t>tu , zaraďujeme tri druhy osôb:</w:t>
      </w:r>
    </w:p>
    <w:p w:rsidR="00DF2CB2" w:rsidRDefault="0049529E" w:rsidP="00DF2CB2">
      <w:pPr>
        <w:pStyle w:val="Odsekzoznamu"/>
        <w:numPr>
          <w:ilvl w:val="0"/>
          <w:numId w:val="15"/>
        </w:numPr>
        <w:rPr>
          <w:rFonts w:cs="Times New Roman"/>
          <w:szCs w:val="24"/>
        </w:rPr>
      </w:pPr>
      <w:r w:rsidRPr="00DF2CB2">
        <w:rPr>
          <w:rFonts w:cs="Times New Roman"/>
          <w:szCs w:val="24"/>
        </w:rPr>
        <w:t xml:space="preserve">príslušníci </w:t>
      </w:r>
      <w:r w:rsidR="001E2948" w:rsidRPr="00DF2CB2">
        <w:rPr>
          <w:rFonts w:cs="Times New Roman"/>
          <w:szCs w:val="24"/>
        </w:rPr>
        <w:t xml:space="preserve">jednotlivých druhov armád – vládnych ozbrojených síl, </w:t>
      </w:r>
    </w:p>
    <w:p w:rsidR="00DF2CB2" w:rsidRPr="00DF2CB2" w:rsidRDefault="001E2948" w:rsidP="00DF2CB2">
      <w:pPr>
        <w:pStyle w:val="Odsekzoznamu"/>
        <w:numPr>
          <w:ilvl w:val="0"/>
          <w:numId w:val="15"/>
        </w:numPr>
        <w:rPr>
          <w:rFonts w:cs="Times New Roman"/>
          <w:szCs w:val="24"/>
        </w:rPr>
      </w:pPr>
      <w:r w:rsidRPr="00DF2CB2">
        <w:rPr>
          <w:rFonts w:cs="Times New Roman"/>
          <w:szCs w:val="24"/>
        </w:rPr>
        <w:t>príslušníci iných alebo vládnych ozbrojených síl, kde zaraďujeme aj organizované hnutia odporu za predpokladu, ak im velí zodpovedná osoba, nosia rozlišovací znak, nosia zbraň a dodržiavajú pravidla vojny,</w:t>
      </w:r>
    </w:p>
    <w:p w:rsidR="00DF2CB2" w:rsidRDefault="001E2948" w:rsidP="00DF2CB2">
      <w:pPr>
        <w:pStyle w:val="Odsekzoznamu"/>
        <w:numPr>
          <w:ilvl w:val="0"/>
          <w:numId w:val="15"/>
        </w:numPr>
        <w:rPr>
          <w:rFonts w:cs="Times New Roman"/>
          <w:szCs w:val="24"/>
        </w:rPr>
      </w:pPr>
      <w:r w:rsidRPr="00DF2CB2">
        <w:rPr>
          <w:rFonts w:cs="Times New Roman"/>
          <w:szCs w:val="24"/>
        </w:rPr>
        <w:t>príslušníci zúčastnení na povstaní obyvateľstva.</w:t>
      </w:r>
    </w:p>
    <w:p w:rsidR="00DF2CB2" w:rsidRPr="00DF2CB2" w:rsidRDefault="00DF2CB2" w:rsidP="00DF2CB2">
      <w:pPr>
        <w:pStyle w:val="Odsekzoznamu"/>
        <w:spacing w:after="0"/>
        <w:rPr>
          <w:rFonts w:cs="Times New Roman"/>
          <w:szCs w:val="24"/>
        </w:rPr>
      </w:pPr>
    </w:p>
    <w:p w:rsidR="001E2948" w:rsidRDefault="00DF2CB2" w:rsidP="004A32F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Medzi </w:t>
      </w:r>
      <w:proofErr w:type="spellStart"/>
      <w:r>
        <w:rPr>
          <w:rFonts w:cs="Times New Roman"/>
          <w:szCs w:val="24"/>
        </w:rPr>
        <w:t>nekombatantov</w:t>
      </w:r>
      <w:proofErr w:type="spellEnd"/>
      <w:r>
        <w:rPr>
          <w:rFonts w:cs="Times New Roman"/>
          <w:szCs w:val="24"/>
        </w:rPr>
        <w:t xml:space="preserve"> sa v dohovoroch zaraďujú dva základné okruhy subjektov:</w:t>
      </w:r>
      <w:r w:rsidR="001E2948">
        <w:rPr>
          <w:rFonts w:cs="Times New Roman"/>
          <w:szCs w:val="24"/>
        </w:rPr>
        <w:t xml:space="preserve"> </w:t>
      </w:r>
    </w:p>
    <w:p w:rsidR="00DF2CB2" w:rsidRPr="00DF2CB2" w:rsidRDefault="00DF2CB2" w:rsidP="00DF2CB2">
      <w:pPr>
        <w:pStyle w:val="Odsekzoznamu"/>
        <w:numPr>
          <w:ilvl w:val="0"/>
          <w:numId w:val="16"/>
        </w:numPr>
        <w:rPr>
          <w:rFonts w:cs="Times New Roman"/>
          <w:szCs w:val="24"/>
        </w:rPr>
      </w:pPr>
      <w:proofErr w:type="spellStart"/>
      <w:r w:rsidRPr="00DF2CB2">
        <w:rPr>
          <w:rFonts w:cs="Times New Roman"/>
          <w:szCs w:val="24"/>
        </w:rPr>
        <w:t>doprovodné</w:t>
      </w:r>
      <w:proofErr w:type="spellEnd"/>
      <w:r w:rsidRPr="00DF2CB2">
        <w:rPr>
          <w:rFonts w:cs="Times New Roman"/>
          <w:szCs w:val="24"/>
        </w:rPr>
        <w:t xml:space="preserve"> osoby </w:t>
      </w:r>
      <w:proofErr w:type="spellStart"/>
      <w:r w:rsidRPr="00DF2CB2">
        <w:rPr>
          <w:rFonts w:cs="Times New Roman"/>
          <w:szCs w:val="24"/>
        </w:rPr>
        <w:t>kombatantov</w:t>
      </w:r>
      <w:proofErr w:type="spellEnd"/>
      <w:r w:rsidRPr="00DF2CB2">
        <w:rPr>
          <w:rFonts w:cs="Times New Roman"/>
          <w:szCs w:val="24"/>
        </w:rPr>
        <w:t xml:space="preserve"> bez toho, aby boli ich priamou účasťou,</w:t>
      </w:r>
    </w:p>
    <w:p w:rsidR="00DF2CB2" w:rsidRDefault="00DF2CB2" w:rsidP="00DF2CB2">
      <w:pPr>
        <w:pStyle w:val="Odsekzoznamu"/>
        <w:numPr>
          <w:ilvl w:val="0"/>
          <w:numId w:val="16"/>
        </w:numPr>
        <w:rPr>
          <w:rFonts w:cs="Times New Roman"/>
          <w:szCs w:val="24"/>
        </w:rPr>
      </w:pPr>
      <w:r w:rsidRPr="00DF2CB2">
        <w:rPr>
          <w:rFonts w:cs="Times New Roman"/>
          <w:szCs w:val="24"/>
        </w:rPr>
        <w:t>posádky civilného letectva a obchodného námorníctva, ktorí nepožívajú špeciálnu ochranu podľa medzinárodného práva.</w:t>
      </w:r>
    </w:p>
    <w:p w:rsidR="00DF2CB2" w:rsidRPr="00DF2CB2" w:rsidRDefault="00DF2CB2" w:rsidP="00DF2CB2">
      <w:pPr>
        <w:pStyle w:val="Odsekzoznamu"/>
        <w:spacing w:after="0"/>
        <w:rPr>
          <w:rFonts w:cs="Times New Roman"/>
          <w:szCs w:val="24"/>
        </w:rPr>
      </w:pPr>
    </w:p>
    <w:p w:rsidR="006C506C" w:rsidRPr="00DF2CB2" w:rsidRDefault="00DF2CB2" w:rsidP="00DF2CB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6C506C">
        <w:rPr>
          <w:rFonts w:cs="Times New Roman"/>
          <w:szCs w:val="24"/>
        </w:rPr>
        <w:t xml:space="preserve">Základné práva uvedených subjektov sú obsiahnuté v obidvoch Dohovoroch v čl.12. V úvode sa definujú základné zásady aplikovania práv založených na zákaze diskriminácie vzhľadom na pohlavie, rasu, politické presvedčenie, národnosť alebo na inom podobnom diskriminačnom faktore. Taktiež sa zdôrazňuje, že by sa s ranenými, chorými a stroskotancami malo za každých okolností zaobchádzať úctivo a starostlivo. Je neprípustné útočiť na ich život, zdravie, podrobovať ich lekárskym </w:t>
      </w:r>
      <w:r w:rsidR="00FA1B8A">
        <w:rPr>
          <w:rFonts w:cs="Times New Roman"/>
          <w:szCs w:val="24"/>
        </w:rPr>
        <w:t>pokusom alebo ich úmyselne  zanechať bez lekárskej starostlivosti.</w:t>
      </w:r>
    </w:p>
    <w:p w:rsidR="0049529E" w:rsidRPr="00271619" w:rsidRDefault="00FA1B8A" w:rsidP="0049529E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F51FE6" w:rsidRPr="00271619">
        <w:rPr>
          <w:rFonts w:cs="Times New Roman"/>
          <w:szCs w:val="24"/>
        </w:rPr>
        <w:t xml:space="preserve">Prvý a druhý Ženevský dohovor o zlepšení osudu ranených, chorých a stroskotancov si sú legislatívne a technický podobné. Rozdiel je však v predmete úpravy, II. Ženevský dohovor sa týka ranených, chorých a stroskotancov na </w:t>
      </w:r>
      <w:r w:rsidR="00623841" w:rsidRPr="00271619">
        <w:rPr>
          <w:rFonts w:cs="Times New Roman"/>
          <w:szCs w:val="24"/>
        </w:rPr>
        <w:t xml:space="preserve">mori, zatiaľ čo I. Ženevský dohovor sa týka ranených, chorých príslušníkov ozbrojených síl v poli. Princípy oboch dohovorov sú </w:t>
      </w:r>
      <w:r w:rsidR="00623841" w:rsidRPr="00271619">
        <w:rPr>
          <w:rFonts w:cs="Times New Roman"/>
          <w:szCs w:val="24"/>
        </w:rPr>
        <w:lastRenderedPageBreak/>
        <w:t xml:space="preserve">totožné a rovnaké pravidlá sa aplikujú aj pre chránené osoby a ich vlastníctvo. Všetko vzhľadom na odlišné podmienky panujúce na zemi i na mori. </w:t>
      </w:r>
    </w:p>
    <w:p w:rsidR="00B84CB0" w:rsidRPr="00271619" w:rsidRDefault="00B84CB0" w:rsidP="00B84CB0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Prvý Ženevský dohovor chráni ranených a chorých vojakov počas vojny na zemi. Tento dohovor predstavuje štvrtú aktualizovanú verziu Ženevského dohovoru o ranených a chorých. </w:t>
      </w:r>
      <w:r w:rsidR="0049529E">
        <w:rPr>
          <w:rFonts w:cs="Times New Roman"/>
          <w:szCs w:val="24"/>
        </w:rPr>
        <w:t xml:space="preserve">Obsahuje 64 článkov, ktoré poskytujú ochranu raneným, chorým , zdravotnícky a duchovný personál, zdravotnícke jednotky a zdravotníckych prepravných prostriedkov. Dohovor taktiež uvádza rozoznávacie znaky. </w:t>
      </w:r>
      <w:r w:rsidRPr="00271619">
        <w:rPr>
          <w:rFonts w:cs="Times New Roman"/>
          <w:szCs w:val="24"/>
        </w:rPr>
        <w:t>Má dve prílohy obsahujúce návrh zmluvy o nemocničnej zóne a model preukazu totožnosti pre zdravotnícky duchovný personál.</w:t>
      </w:r>
    </w:p>
    <w:p w:rsidR="00AB5A65" w:rsidRDefault="00B84CB0" w:rsidP="00AB5A65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>Druhý Ženevský dohovor chráni ranených, chorých a stroskotancov vojenského personálu na mori počas vojny. Tento dohovor nahrádza Haagsky dohovor z roku 1907. Úzko nadväzuje na ustanovenia prvého Ženevského dohovoru v štruktúre a obsahu.</w:t>
      </w:r>
      <w:r w:rsidR="0049529E">
        <w:rPr>
          <w:rFonts w:cs="Times New Roman"/>
          <w:szCs w:val="24"/>
        </w:rPr>
        <w:t xml:space="preserve"> Má 63 </w:t>
      </w:r>
      <w:proofErr w:type="spellStart"/>
      <w:r w:rsidR="0049529E">
        <w:rPr>
          <w:rFonts w:cs="Times New Roman"/>
          <w:szCs w:val="24"/>
        </w:rPr>
        <w:t>ćlánkov</w:t>
      </w:r>
      <w:proofErr w:type="spellEnd"/>
      <w:r w:rsidR="0049529E">
        <w:rPr>
          <w:rFonts w:cs="Times New Roman"/>
          <w:szCs w:val="24"/>
        </w:rPr>
        <w:t xml:space="preserve"> aplikovateľných na vojnu na mori.</w:t>
      </w:r>
      <w:r w:rsidRPr="00271619">
        <w:rPr>
          <w:rFonts w:cs="Times New Roman"/>
          <w:szCs w:val="24"/>
        </w:rPr>
        <w:t xml:space="preserve"> Jeho príloha obsahuje vzor preukazu pre zdravotnícky a duchovný personál</w:t>
      </w:r>
      <w:r w:rsidR="004B4071" w:rsidRPr="00271619">
        <w:rPr>
          <w:rFonts w:cs="Times New Roman"/>
          <w:szCs w:val="24"/>
        </w:rPr>
        <w:t>.</w:t>
      </w: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Default="0049529E" w:rsidP="00AB5A65">
      <w:pPr>
        <w:rPr>
          <w:rFonts w:cs="Times New Roman"/>
          <w:szCs w:val="24"/>
        </w:rPr>
      </w:pPr>
    </w:p>
    <w:p w:rsidR="0049529E" w:rsidRPr="00271619" w:rsidRDefault="0049529E" w:rsidP="00AB5A65">
      <w:pPr>
        <w:rPr>
          <w:rFonts w:cs="Times New Roman"/>
          <w:szCs w:val="24"/>
        </w:rPr>
      </w:pPr>
    </w:p>
    <w:p w:rsidR="00271619" w:rsidRPr="00720A5A" w:rsidRDefault="005166B2" w:rsidP="00720A5A">
      <w:pPr>
        <w:pStyle w:val="Nadpis1"/>
        <w:shd w:val="clear" w:color="auto" w:fill="FFFFFF"/>
        <w:spacing w:before="0"/>
        <w:textAlignment w:val="baseline"/>
        <w:rPr>
          <w:rFonts w:ascii="fedra-display-heavy" w:hAnsi="fedra-display-heavy"/>
          <w:color w:val="313131"/>
        </w:rPr>
      </w:pPr>
      <w:bookmarkStart w:id="2" w:name="_Toc55744205"/>
      <w:bookmarkStart w:id="3" w:name="_Toc57031717"/>
      <w:r w:rsidRPr="00271619">
        <w:rPr>
          <w:rFonts w:ascii="Times New Roman" w:hAnsi="Times New Roman" w:cs="Times New Roman"/>
          <w:color w:val="auto"/>
          <w:sz w:val="32"/>
          <w:szCs w:val="32"/>
        </w:rPr>
        <w:lastRenderedPageBreak/>
        <w:t>D</w:t>
      </w:r>
      <w:r w:rsidR="00720A5A">
        <w:rPr>
          <w:rFonts w:ascii="Times New Roman" w:hAnsi="Times New Roman" w:cs="Times New Roman"/>
          <w:color w:val="auto"/>
          <w:sz w:val="32"/>
          <w:szCs w:val="32"/>
        </w:rPr>
        <w:t>EFINÍCIA CHRÁNENÝCH OS</w:t>
      </w:r>
      <w:r w:rsidR="00720A5A" w:rsidRPr="00720A5A">
        <w:rPr>
          <w:rFonts w:ascii="Times New Roman" w:hAnsi="Times New Roman" w:cs="Times New Roman"/>
          <w:color w:val="313131"/>
          <w:sz w:val="32"/>
          <w:szCs w:val="32"/>
        </w:rPr>
        <w:t>Ô</w:t>
      </w:r>
      <w:r w:rsidR="00720A5A">
        <w:rPr>
          <w:rFonts w:ascii="fedra-display-heavy" w:hAnsi="fedra-display-heavy"/>
          <w:color w:val="313131"/>
        </w:rPr>
        <w:t>B</w:t>
      </w:r>
      <w:bookmarkEnd w:id="3"/>
      <w:r w:rsidR="00720A5A">
        <w:rPr>
          <w:rFonts w:ascii="fedra-display-heavy" w:hAnsi="fedra-display-heavy"/>
          <w:color w:val="313131"/>
        </w:rPr>
        <w:t xml:space="preserve"> </w:t>
      </w:r>
      <w:bookmarkEnd w:id="2"/>
    </w:p>
    <w:p w:rsidR="005166B2" w:rsidRPr="00271619" w:rsidRDefault="005166B2" w:rsidP="004A32FB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Zadefinovať môžeme okruh osôb spadajúcich do ochrany I. a II. Ženevského dohovoru podľa Dodatkového protokolu I. </w:t>
      </w:r>
    </w:p>
    <w:p w:rsidR="005166B2" w:rsidRPr="00E936F8" w:rsidRDefault="005166B2" w:rsidP="004A32FB">
      <w:pPr>
        <w:rPr>
          <w:rFonts w:cs="Times New Roman"/>
          <w:i/>
          <w:szCs w:val="24"/>
        </w:rPr>
      </w:pPr>
      <w:r w:rsidRPr="00271619">
        <w:rPr>
          <w:rFonts w:cs="Times New Roman"/>
          <w:szCs w:val="24"/>
        </w:rPr>
        <w:tab/>
      </w:r>
      <w:r w:rsidR="00E936F8">
        <w:rPr>
          <w:rFonts w:cs="Times New Roman"/>
          <w:szCs w:val="24"/>
        </w:rPr>
        <w:t>„</w:t>
      </w:r>
      <w:r w:rsidRPr="00E936F8">
        <w:rPr>
          <w:rFonts w:cs="Times New Roman"/>
          <w:i/>
          <w:szCs w:val="24"/>
        </w:rPr>
        <w:t>Ranení a chorí sú vojenské alebo civilné osoby, ktoré pre zranenie, chorobu alebo iné fyzické alebo duševné poruchy alebo neschopnosť potrebujú</w:t>
      </w:r>
      <w:r w:rsidR="00A9387B" w:rsidRPr="00E936F8">
        <w:rPr>
          <w:rFonts w:cs="Times New Roman"/>
          <w:i/>
          <w:szCs w:val="24"/>
        </w:rPr>
        <w:t xml:space="preserve"> lekársku pomoc alebo starostlivosť, alebo choré osoby alebo tehotné ženy, ktoré sa zdržujú akejkoľvek nepriateľskej činnosti.</w:t>
      </w:r>
    </w:p>
    <w:p w:rsidR="00A9387B" w:rsidRDefault="00A9387B" w:rsidP="004A32FB">
      <w:pPr>
        <w:rPr>
          <w:rFonts w:cs="Times New Roman"/>
          <w:i/>
          <w:szCs w:val="24"/>
        </w:rPr>
      </w:pPr>
      <w:r w:rsidRPr="00E936F8">
        <w:rPr>
          <w:rFonts w:cs="Times New Roman"/>
          <w:i/>
          <w:szCs w:val="24"/>
        </w:rPr>
        <w:tab/>
        <w:t>Stroskotanci sú vojenské alebo civilné osoby, ktoré sú v nebezpečnej situácií na mori alebo v iných vodách v dôsledku nešťastia, ktoré postihlo ich alebo loď, alebo lietadlo, ktorým sa prepravovali, a ktoré sa zdržujú akejkoľvek nepriateľskej činnosti.</w:t>
      </w:r>
      <w:r w:rsidR="00E936F8">
        <w:rPr>
          <w:rFonts w:cs="Times New Roman"/>
          <w:i/>
          <w:szCs w:val="24"/>
        </w:rPr>
        <w:t>“</w:t>
      </w:r>
      <w:r w:rsidR="00E936F8">
        <w:rPr>
          <w:rStyle w:val="Odkaznapoznmkupodiarou"/>
          <w:rFonts w:cs="Times New Roman"/>
          <w:i/>
          <w:szCs w:val="24"/>
        </w:rPr>
        <w:footnoteReference w:id="1"/>
      </w:r>
    </w:p>
    <w:p w:rsidR="00E936F8" w:rsidRPr="00E936F8" w:rsidRDefault="00E936F8" w:rsidP="004A32FB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>
        <w:rPr>
          <w:rFonts w:cs="Times New Roman"/>
          <w:szCs w:val="24"/>
        </w:rPr>
        <w:t>Osoba, ktorá spáchala nepriateľskú činnosť nepoberá ochranu priznanú raneným, chorým a stroskotancom. Právo jasne neodpovedá, kedy je čin považovaný za „nepriateľsky“, ale pojem musí byť interpretovaný v spojitosti s pojmom „nepriateľský čin“.</w:t>
      </w:r>
    </w:p>
    <w:p w:rsidR="00A9387B" w:rsidRPr="00271619" w:rsidRDefault="00A9387B" w:rsidP="004A32FB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>Pod pojem ranení a chorí zaraďujeme všetky osoby (vojenské i civilné), ktoré si vyžadujú lekársku pomoc, bez ohľadu na to či ich zdravotný stav bol spôsobený konfliktom. Tieto osoby nesmú byť za žiadnych okolností predmetom útoku a musí im byť poskytnutá náležitá lekárska pomoc</w:t>
      </w:r>
      <w:r w:rsidR="00E936F8">
        <w:rPr>
          <w:rFonts w:cs="Times New Roman"/>
          <w:szCs w:val="24"/>
        </w:rPr>
        <w:t>, bez ohľadu na ich príslušnosť.</w:t>
      </w:r>
    </w:p>
    <w:p w:rsidR="00A9387B" w:rsidRPr="00C930DD" w:rsidRDefault="00A9387B" w:rsidP="00C930DD">
      <w:pPr>
        <w:pStyle w:val="Nadpis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7031718"/>
      <w:r w:rsidRPr="00C930DD">
        <w:rPr>
          <w:rFonts w:ascii="Times New Roman" w:hAnsi="Times New Roman" w:cs="Times New Roman"/>
          <w:color w:val="000000" w:themeColor="text1"/>
          <w:sz w:val="28"/>
          <w:szCs w:val="28"/>
        </w:rPr>
        <w:t>Ochrana, zaobchádzanie a starostlivosť</w:t>
      </w:r>
      <w:bookmarkEnd w:id="4"/>
      <w:r w:rsidRPr="00C930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82D06" w:rsidRPr="00271619" w:rsidRDefault="00A9387B" w:rsidP="004A32FB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>Zranení, chorí a stroskotanci musia byť rešpektovaní a chránení. V </w:t>
      </w:r>
      <w:r w:rsidR="00A82D06" w:rsidRPr="00271619">
        <w:rPr>
          <w:rFonts w:cs="Times New Roman"/>
          <w:szCs w:val="24"/>
        </w:rPr>
        <w:t>Doda</w:t>
      </w:r>
      <w:r w:rsidRPr="00271619">
        <w:rPr>
          <w:rFonts w:cs="Times New Roman"/>
          <w:szCs w:val="24"/>
        </w:rPr>
        <w:t>tkovom protokole I. v článku 10</w:t>
      </w:r>
      <w:r w:rsidR="00A82D06" w:rsidRPr="00271619">
        <w:rPr>
          <w:rFonts w:cs="Times New Roman"/>
          <w:szCs w:val="24"/>
        </w:rPr>
        <w:t xml:space="preserve">. Sú uvedené základné princípy zaobchádzania a starostlivosti. Všetci ranení, chorí a stroskotanci, nech patria ku ktorejkoľvek strane, budú sa rešpektovať a chrániť. V nasledujúcom odseku sa vyžaduje aby s nimi bolo zaobchádzané ľudsky, a aby im bola poskytnutá za každých okolností, v čo najväčšej možnej miere a čo najrýchlejšie lekárska starostlivosť a ošetrenie. </w:t>
      </w:r>
    </w:p>
    <w:p w:rsidR="00FE14A2" w:rsidRPr="00271619" w:rsidRDefault="00FE14A2" w:rsidP="004A32FB">
      <w:pPr>
        <w:rPr>
          <w:rFonts w:cs="Times New Roman"/>
          <w:szCs w:val="24"/>
        </w:rPr>
      </w:pPr>
      <w:r w:rsidRPr="00271619">
        <w:rPr>
          <w:rFonts w:cs="Times New Roman"/>
          <w:i/>
          <w:szCs w:val="24"/>
        </w:rPr>
        <w:tab/>
        <w:t>„Kedykoľvek to okolnosti dovolia a hlavne po boji, musí byť každá strana konfliktu bez omeškania učiniť všetky možné opatrenia, aby bez nepriaznivého rozlišovania boli vyhľadávaní, zhromažďovaní a odsunutí zranení, nemocní a </w:t>
      </w:r>
      <w:r w:rsidR="00AB5A65" w:rsidRPr="00271619">
        <w:rPr>
          <w:rFonts w:cs="Times New Roman"/>
          <w:i/>
          <w:szCs w:val="24"/>
        </w:rPr>
        <w:t>stroskotanci</w:t>
      </w:r>
      <w:r w:rsidRPr="00271619">
        <w:rPr>
          <w:rFonts w:cs="Times New Roman"/>
          <w:i/>
          <w:szCs w:val="24"/>
        </w:rPr>
        <w:t xml:space="preserve">“ </w:t>
      </w:r>
      <w:r w:rsidRPr="00271619">
        <w:rPr>
          <w:rFonts w:cs="Times New Roman"/>
          <w:szCs w:val="24"/>
        </w:rPr>
        <w:t>(pravidlo 109, čl.15 ŽD</w:t>
      </w:r>
      <w:r w:rsidR="00AB5A65" w:rsidRPr="00271619">
        <w:rPr>
          <w:rFonts w:cs="Times New Roman"/>
          <w:szCs w:val="24"/>
        </w:rPr>
        <w:t xml:space="preserve"> </w:t>
      </w:r>
      <w:r w:rsidRPr="00271619">
        <w:rPr>
          <w:rFonts w:cs="Times New Roman"/>
          <w:szCs w:val="24"/>
        </w:rPr>
        <w:t>I a čl.10 DP I</w:t>
      </w:r>
      <w:r w:rsidR="00AB5A65" w:rsidRPr="00271619">
        <w:rPr>
          <w:rFonts w:cs="Times New Roman"/>
          <w:szCs w:val="24"/>
        </w:rPr>
        <w:t>).</w:t>
      </w:r>
    </w:p>
    <w:p w:rsidR="00AB5A65" w:rsidRPr="00271619" w:rsidRDefault="00AB5A65" w:rsidP="004A32FB">
      <w:pPr>
        <w:rPr>
          <w:rFonts w:cs="Times New Roman"/>
          <w:szCs w:val="24"/>
        </w:rPr>
      </w:pPr>
      <w:r w:rsidRPr="00271619">
        <w:rPr>
          <w:rFonts w:cs="Times New Roman"/>
          <w:i/>
          <w:szCs w:val="24"/>
        </w:rPr>
        <w:tab/>
        <w:t xml:space="preserve">„Zraneným, nemocným a stroskotancom sa musí dostať čo možno najúplnejšia a čo možno najrýchlejšia zdravotná starostlivosť a pozornosť požadovaná ich stavom. Medzi nimi nesmú byť konané žiadne rozdiely okrem lekárskych“ </w:t>
      </w:r>
      <w:r w:rsidRPr="00271619">
        <w:rPr>
          <w:rFonts w:cs="Times New Roman"/>
          <w:szCs w:val="24"/>
        </w:rPr>
        <w:t>(pravidlo 110, čl.15 ZD I a čl.10 DP I).</w:t>
      </w:r>
    </w:p>
    <w:p w:rsidR="00AB5A65" w:rsidRPr="00271619" w:rsidRDefault="00AB5A65" w:rsidP="004A32FB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lastRenderedPageBreak/>
        <w:tab/>
      </w:r>
      <w:r w:rsidRPr="00271619">
        <w:rPr>
          <w:rFonts w:cs="Times New Roman"/>
          <w:i/>
          <w:szCs w:val="24"/>
        </w:rPr>
        <w:t>„Každá strana konfliktu musí učiniť všetky možné opatrenia, aby ochránila zranených, nemocných a stroskotancov pred zlým zaobchádzaním a okradnutím“</w:t>
      </w:r>
      <w:r w:rsidRPr="00271619">
        <w:rPr>
          <w:rFonts w:cs="Times New Roman"/>
          <w:szCs w:val="24"/>
        </w:rPr>
        <w:t xml:space="preserve"> (pravidlo 111, čl.16 ŽD I a čl.10 DP I).</w:t>
      </w:r>
    </w:p>
    <w:p w:rsidR="00A82D06" w:rsidRPr="00271619" w:rsidRDefault="00A82D06" w:rsidP="004A32FB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>Šetriť a neútočiť na zranených, chorých a stroskotancov a zdržať sa takých činov, ktoré by mali za následok ohrozenie alebo by spôsobili zranenie to znamená rešpektovať. Táto podmienka sa vzťahuje na všetkých aj na civilné obyvateľstvo.</w:t>
      </w:r>
      <w:r w:rsidR="00914E5E" w:rsidRPr="00271619">
        <w:rPr>
          <w:rFonts w:cs="Times New Roman"/>
          <w:szCs w:val="24"/>
        </w:rPr>
        <w:t xml:space="preserve"> </w:t>
      </w:r>
      <w:r w:rsidRPr="00271619">
        <w:rPr>
          <w:rFonts w:cs="Times New Roman"/>
          <w:szCs w:val="24"/>
        </w:rPr>
        <w:t>Strany ozbrojeného konfliktu musia uskutočniť aktívne opatrenia na zabezpečenie práv chránených osôb. Povinnosť rešpektovať a chrániť je aplikovateľné za vše</w:t>
      </w:r>
      <w:r w:rsidR="00914E5E" w:rsidRPr="00271619">
        <w:rPr>
          <w:rFonts w:cs="Times New Roman"/>
          <w:szCs w:val="24"/>
        </w:rPr>
        <w:t xml:space="preserve">tkých okolností. </w:t>
      </w:r>
    </w:p>
    <w:p w:rsidR="00914E5E" w:rsidRDefault="00914E5E" w:rsidP="004A32FB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Dohovory vychádzajú zo zásady zákazu diskriminácie, tak aj napriek tomu môžeme vidieť v II. Ženevskom dohovore príklad pozitívneho rozlíšenia, ktoré v tomto prípade je nevyhnutné. </w:t>
      </w:r>
      <w:r w:rsidR="00E936F8">
        <w:rPr>
          <w:rFonts w:cs="Times New Roman"/>
          <w:szCs w:val="24"/>
        </w:rPr>
        <w:t>„</w:t>
      </w:r>
      <w:r w:rsidRPr="00E936F8">
        <w:rPr>
          <w:rFonts w:cs="Times New Roman"/>
          <w:i/>
          <w:szCs w:val="24"/>
        </w:rPr>
        <w:t>So ženami sa má zaobchádzať s ohľadom na ich pohlavie</w:t>
      </w:r>
      <w:r w:rsidR="00E936F8">
        <w:rPr>
          <w:rFonts w:cs="Times New Roman"/>
          <w:i/>
          <w:szCs w:val="24"/>
        </w:rPr>
        <w:t>.“</w:t>
      </w:r>
      <w:r w:rsidR="00E936F8">
        <w:rPr>
          <w:rStyle w:val="Odkaznapoznmkupodiarou"/>
          <w:rFonts w:cs="Times New Roman"/>
          <w:i/>
          <w:szCs w:val="24"/>
        </w:rPr>
        <w:footnoteReference w:id="2"/>
      </w:r>
      <w:r w:rsidRPr="00271619">
        <w:rPr>
          <w:rFonts w:cs="Times New Roman"/>
          <w:szCs w:val="24"/>
        </w:rPr>
        <w:t xml:space="preserve"> So ženami, ktoré sa zúčastňujú na vojenskej operácii sa ma zaobchádzať so zvláštnym ohľadom vzhľadom na ich pohlavie. </w:t>
      </w:r>
    </w:p>
    <w:p w:rsidR="00D1191A" w:rsidRPr="00271619" w:rsidRDefault="00D1191A" w:rsidP="004A32F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Toto ustanovenie bolo predstavené v dohovore o zaobchádzaní s vojnovými zajatcami, ale v Ženevskom dohovore nebolo riadne spomenuté. Napriek tomu vládol nepochybný pocit, že dôraz sa aj napriek tomu kladie na osobitnú pozornosť pre zranené alebo choré ženy. Avšak s ohľadom na stále narastajúci počet účasti žien vo vojenských operáciách a tiež vzhľadom k bolestivými skúsenostiam získaným v priebehu Druhej svetovej vojny bola žiadosť o vytvorenej osobitej pozornosti ochrany žien na mieste. </w:t>
      </w:r>
    </w:p>
    <w:p w:rsidR="00914E5E" w:rsidRPr="00271619" w:rsidRDefault="00914E5E" w:rsidP="004A32FB">
      <w:pPr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V prípade naliehavých lekárskych dôvodov, sú doktori oprávnení podrobiť </w:t>
      </w:r>
      <w:r w:rsidR="00F53666" w:rsidRPr="00271619">
        <w:rPr>
          <w:rFonts w:cs="Times New Roman"/>
          <w:szCs w:val="24"/>
        </w:rPr>
        <w:t>liečbe tých, ktorí potrebujú urgentný zákrok ako prvých , a tí, ktorí si nevyžadujú okamžitú starostlivosť, neskôr. Ale Medzinárodné humanitárne právo nestanovuje žiadne konkrétne kritéria pre zdôvodnenie, tieto kritéria sú stanovené lekárskou etiketou.</w:t>
      </w:r>
    </w:p>
    <w:p w:rsidR="00271619" w:rsidRPr="00271619" w:rsidRDefault="00271619" w:rsidP="004A32FB">
      <w:pPr>
        <w:rPr>
          <w:rFonts w:cs="Times New Roman"/>
          <w:szCs w:val="24"/>
        </w:rPr>
      </w:pPr>
    </w:p>
    <w:p w:rsidR="00271619" w:rsidRPr="00271619" w:rsidRDefault="00271619" w:rsidP="004A32FB">
      <w:pPr>
        <w:rPr>
          <w:rFonts w:cs="Times New Roman"/>
          <w:szCs w:val="24"/>
        </w:rPr>
      </w:pPr>
    </w:p>
    <w:p w:rsidR="00271619" w:rsidRPr="00271619" w:rsidRDefault="00271619" w:rsidP="004A32FB">
      <w:pPr>
        <w:rPr>
          <w:rFonts w:cs="Times New Roman"/>
          <w:szCs w:val="24"/>
        </w:rPr>
      </w:pPr>
    </w:p>
    <w:p w:rsidR="00271619" w:rsidRPr="00271619" w:rsidRDefault="00271619" w:rsidP="004A32FB">
      <w:pPr>
        <w:rPr>
          <w:rFonts w:cs="Times New Roman"/>
          <w:szCs w:val="24"/>
        </w:rPr>
      </w:pPr>
    </w:p>
    <w:p w:rsidR="00271619" w:rsidRPr="00271619" w:rsidRDefault="00271619" w:rsidP="004A32FB">
      <w:pPr>
        <w:rPr>
          <w:rFonts w:cs="Times New Roman"/>
          <w:szCs w:val="24"/>
        </w:rPr>
      </w:pPr>
    </w:p>
    <w:p w:rsidR="00271619" w:rsidRPr="00271619" w:rsidRDefault="00271619" w:rsidP="004A32FB">
      <w:pPr>
        <w:rPr>
          <w:rFonts w:cs="Times New Roman"/>
          <w:szCs w:val="24"/>
        </w:rPr>
      </w:pPr>
    </w:p>
    <w:p w:rsidR="00271619" w:rsidRPr="00271619" w:rsidRDefault="00271619" w:rsidP="004A32FB">
      <w:pPr>
        <w:rPr>
          <w:rFonts w:cs="Times New Roman"/>
          <w:szCs w:val="24"/>
        </w:rPr>
      </w:pPr>
    </w:p>
    <w:p w:rsidR="00271619" w:rsidRPr="00720A5A" w:rsidRDefault="00D1191A" w:rsidP="00720A5A">
      <w:pPr>
        <w:pStyle w:val="Nadpis1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55744206"/>
      <w:bookmarkStart w:id="6" w:name="_Toc5703171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OCHRANA ZDRAVOTNÍCKYCH </w:t>
      </w:r>
      <w:r w:rsidR="00720A5A">
        <w:rPr>
          <w:rFonts w:ascii="Times New Roman" w:hAnsi="Times New Roman" w:cs="Times New Roman"/>
          <w:color w:val="auto"/>
          <w:sz w:val="32"/>
          <w:szCs w:val="32"/>
        </w:rPr>
        <w:t xml:space="preserve">POVINNOSTÍ A  ZDRAVOTNÍCKYCH </w:t>
      </w:r>
      <w:bookmarkEnd w:id="5"/>
      <w:r w:rsidR="00720A5A">
        <w:rPr>
          <w:rFonts w:ascii="Times New Roman" w:hAnsi="Times New Roman" w:cs="Times New Roman"/>
          <w:color w:val="auto"/>
          <w:sz w:val="32"/>
          <w:szCs w:val="32"/>
        </w:rPr>
        <w:t>JEDNOTIEK</w:t>
      </w:r>
      <w:bookmarkEnd w:id="6"/>
      <w:r w:rsidR="00720A5A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</w:p>
    <w:p w:rsidR="007A6B0C" w:rsidRPr="00271619" w:rsidRDefault="007A6B0C" w:rsidP="007A6B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Lekársky personál nemožno stíhať za poskytnutie zdravotnej starostlivosti komukoľvek. To znamená, že nemožno brániť zdravotníkom vo vykonávaní ich činnosti alebo nútiť ich k činnosti, ktorá by odporovala lekárskej etike. </w:t>
      </w:r>
    </w:p>
    <w:p w:rsidR="00271619" w:rsidRDefault="007A6B0C" w:rsidP="002716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Zdravotnícke jednotky musia byť vždy chránené a nesmú byť predmetom útoku. Vyplýva im povinnosť riadneho označenia v podobe Červeného kríža alebo Červeného polmesiaca. Tento znak nesmie byť zneužitý a jeho použitie je pod dohľadom príslušného orgánu strany konfliktu. V prípade, ak zdravotnícke jednotky a personál páchajú nepriateľskú činnosť, jedná sa o prípad zneužitia znaku Červeného kríža a ochrana zanikne. Lekársky personál nesmie byť nútený konať v rozpore s pravidlami lekárskej etiky alebo pravidlami, ktoré sú v prospech ranených a chorých. Taktiež nesmie konať v rozpore s pravidlami dohovorov alebo dodatkových protokolov. </w:t>
      </w:r>
    </w:p>
    <w:p w:rsidR="00271619" w:rsidRPr="00271619" w:rsidRDefault="00271619" w:rsidP="002716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</w:p>
    <w:p w:rsidR="00271619" w:rsidRPr="00C930DD" w:rsidRDefault="007A6B0C" w:rsidP="00271619">
      <w:pPr>
        <w:pStyle w:val="Nadpis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55744207"/>
      <w:bookmarkStart w:id="8" w:name="_Toc57031720"/>
      <w:r w:rsidRPr="00271619">
        <w:rPr>
          <w:rFonts w:ascii="Times New Roman" w:hAnsi="Times New Roman" w:cs="Times New Roman"/>
          <w:color w:val="auto"/>
          <w:sz w:val="28"/>
          <w:szCs w:val="28"/>
        </w:rPr>
        <w:t>Hľadanie, zhromažďovanie a</w:t>
      </w:r>
      <w:r w:rsidR="00271619">
        <w:rPr>
          <w:rFonts w:ascii="Times New Roman" w:hAnsi="Times New Roman" w:cs="Times New Roman"/>
          <w:color w:val="auto"/>
          <w:sz w:val="28"/>
          <w:szCs w:val="28"/>
        </w:rPr>
        <w:t> </w:t>
      </w:r>
      <w:r w:rsidRPr="00271619">
        <w:rPr>
          <w:rFonts w:ascii="Times New Roman" w:hAnsi="Times New Roman" w:cs="Times New Roman"/>
          <w:color w:val="auto"/>
          <w:sz w:val="28"/>
          <w:szCs w:val="28"/>
        </w:rPr>
        <w:t>evakuovanie</w:t>
      </w:r>
      <w:bookmarkEnd w:id="7"/>
      <w:bookmarkEnd w:id="8"/>
    </w:p>
    <w:p w:rsidR="00443CAB" w:rsidRDefault="007A6B0C" w:rsidP="007A6B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>Po celú dobu vyhľadávania, zhromažďovania a evakuácie raných a chorých a stroskotaných musia byť prijaté všetky možné opatrenia</w:t>
      </w:r>
      <w:r w:rsidR="00A63D25" w:rsidRPr="00271619">
        <w:rPr>
          <w:rFonts w:cs="Times New Roman"/>
          <w:szCs w:val="24"/>
        </w:rPr>
        <w:t xml:space="preserve"> a zabezpečiť im zodpovedajúcu zdravotnú starostlivosť. </w:t>
      </w:r>
      <w:r w:rsidR="00443CAB">
        <w:rPr>
          <w:rFonts w:cs="Times New Roman"/>
          <w:szCs w:val="24"/>
        </w:rPr>
        <w:t>Musia byť chránení od rabovania a zlého zaobchádzania.</w:t>
      </w:r>
      <w:r w:rsidR="00443CAB">
        <w:rPr>
          <w:rStyle w:val="Odkaznapoznmkupodiarou"/>
          <w:rFonts w:cs="Times New Roman"/>
          <w:szCs w:val="24"/>
        </w:rPr>
        <w:footnoteReference w:id="3"/>
      </w:r>
    </w:p>
    <w:p w:rsidR="007A6B0C" w:rsidRPr="00271619" w:rsidRDefault="00443CAB" w:rsidP="007A6B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63D25" w:rsidRPr="00271619">
        <w:rPr>
          <w:rFonts w:cs="Times New Roman"/>
          <w:szCs w:val="24"/>
        </w:rPr>
        <w:t>V prípade ak uvedený predpoklad, strany nie sú schopné uskutočniť samostatne, musia požiadať humanitárnu organizácie, aby splnili ich úlohu alebo pomohli v úsilí splniť. V medzinárodnom ozbrojenom konflikte môžu vojenské orgány požiadať civilné obyvateľstvo zozbierať ranených, chorých a stroskotaných. Civilné obyvateľstvo tak môže urobiť aj z vlastnej iniciatívy.</w:t>
      </w:r>
      <w:r>
        <w:rPr>
          <w:rStyle w:val="Odkaznapoznmkupodiarou"/>
          <w:rFonts w:cs="Times New Roman"/>
          <w:szCs w:val="24"/>
        </w:rPr>
        <w:footnoteReference w:id="4"/>
      </w:r>
      <w:r w:rsidR="00A63D25" w:rsidRPr="00271619">
        <w:rPr>
          <w:rFonts w:cs="Times New Roman"/>
          <w:szCs w:val="24"/>
        </w:rPr>
        <w:t xml:space="preserve"> Nik nesmie byť za </w:t>
      </w:r>
      <w:r>
        <w:rPr>
          <w:rFonts w:cs="Times New Roman"/>
          <w:szCs w:val="24"/>
        </w:rPr>
        <w:t>vykonávanie takýchto humanitárny</w:t>
      </w:r>
      <w:r w:rsidR="00A63D25" w:rsidRPr="00271619">
        <w:rPr>
          <w:rFonts w:cs="Times New Roman"/>
          <w:szCs w:val="24"/>
        </w:rPr>
        <w:t>ch vecí stíhaný, obvinený ani potrestaný.</w:t>
      </w:r>
      <w:r>
        <w:rPr>
          <w:rStyle w:val="Odkaznapoznmkupodiarou"/>
          <w:rFonts w:cs="Times New Roman"/>
          <w:szCs w:val="24"/>
        </w:rPr>
        <w:footnoteReference w:id="5"/>
      </w:r>
      <w:r w:rsidR="00A63D25" w:rsidRPr="00271619">
        <w:rPr>
          <w:rFonts w:cs="Times New Roman"/>
          <w:szCs w:val="24"/>
        </w:rPr>
        <w:t xml:space="preserve"> </w:t>
      </w:r>
    </w:p>
    <w:p w:rsidR="00271619" w:rsidRDefault="00A63D25" w:rsidP="002716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Evakuácia, znamená odobrať osoby z bojovej zóny, bez ohľadu na to, či sú v dobrej zdravotnej kondícii, zranení, chorí alebo stroskotaní. Existuje výnimka a to v prípade, že ich zdravotný stav neumožňuje prepravu. V tom prípade ostanú na mieste, aj keď sa jedná o bojovú </w:t>
      </w:r>
      <w:r w:rsidR="005D6784" w:rsidRPr="00271619">
        <w:rPr>
          <w:rFonts w:cs="Times New Roman"/>
          <w:szCs w:val="24"/>
        </w:rPr>
        <w:t xml:space="preserve">zónu. </w:t>
      </w:r>
    </w:p>
    <w:p w:rsidR="00C930DD" w:rsidRPr="00271619" w:rsidRDefault="00C930DD" w:rsidP="0027161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</w:p>
    <w:p w:rsidR="005D6784" w:rsidRPr="00271619" w:rsidRDefault="005D6784" w:rsidP="00271619">
      <w:pPr>
        <w:pStyle w:val="Nadpis1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55744208"/>
      <w:bookmarkStart w:id="10" w:name="_Toc57031721"/>
      <w:r w:rsidRPr="00271619">
        <w:rPr>
          <w:rFonts w:ascii="Times New Roman" w:hAnsi="Times New Roman" w:cs="Times New Roman"/>
          <w:color w:val="auto"/>
          <w:sz w:val="32"/>
          <w:szCs w:val="32"/>
        </w:rPr>
        <w:lastRenderedPageBreak/>
        <w:t>M</w:t>
      </w:r>
      <w:bookmarkEnd w:id="9"/>
      <w:r w:rsidR="00D1191A">
        <w:rPr>
          <w:rFonts w:ascii="Times New Roman" w:hAnsi="Times New Roman" w:cs="Times New Roman"/>
          <w:color w:val="auto"/>
          <w:sz w:val="32"/>
          <w:szCs w:val="32"/>
        </w:rPr>
        <w:t>ŔTVI A NEZVESTNÍ</w:t>
      </w:r>
      <w:bookmarkEnd w:id="10"/>
    </w:p>
    <w:p w:rsidR="00F53666" w:rsidRPr="00271619" w:rsidRDefault="005D6784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Rodiny majú právo </w:t>
      </w:r>
      <w:r w:rsidR="00B84CB0" w:rsidRPr="00271619">
        <w:rPr>
          <w:rFonts w:cs="Times New Roman"/>
          <w:szCs w:val="24"/>
        </w:rPr>
        <w:t>vedieť o osude svojich blízkych, hoci takéto právo nie je vysvetliteľné, ako subjektívne právo rodiny získať informácie, je to však základné pravidlo medzinárodného humanitárneho práva o mŕtvych a nezvestných. Hlavný rozdiel medzi pravidlami prislúchajúcim i mŕtvym na jednej strane a nezvestným na strane druhej, vychádza zo skutočnosti, že osud nezvestných osôb zostáva neznámy.</w:t>
      </w:r>
    </w:p>
    <w:p w:rsidR="00B84CB0" w:rsidRPr="00443CAB" w:rsidRDefault="00B84CB0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i/>
          <w:szCs w:val="24"/>
        </w:rPr>
      </w:pPr>
      <w:r w:rsidRPr="00271619">
        <w:rPr>
          <w:rFonts w:cs="Times New Roman"/>
          <w:szCs w:val="24"/>
        </w:rPr>
        <w:tab/>
      </w:r>
      <w:r w:rsidR="00443CAB">
        <w:rPr>
          <w:rFonts w:cs="Times New Roman"/>
          <w:szCs w:val="24"/>
        </w:rPr>
        <w:t>„</w:t>
      </w:r>
      <w:r w:rsidRPr="00443CAB">
        <w:rPr>
          <w:rFonts w:cs="Times New Roman"/>
          <w:i/>
          <w:szCs w:val="24"/>
        </w:rPr>
        <w:t xml:space="preserve">Každá strana v konflikte bude pátrať po osobách, ktoré boli vyhlásené za nezvestné druhou stranou. Táto druhá strana odovzdá všetky potrebné informácie o takýchto osobách za účelom uľahčenia </w:t>
      </w:r>
      <w:r w:rsidR="00443CAB">
        <w:rPr>
          <w:rFonts w:cs="Times New Roman"/>
          <w:i/>
          <w:szCs w:val="24"/>
        </w:rPr>
        <w:t>pátrania po nich.“</w:t>
      </w:r>
      <w:r w:rsidR="00443CAB">
        <w:rPr>
          <w:rStyle w:val="Odkaznapoznmkupodiarou"/>
          <w:rFonts w:cs="Times New Roman"/>
          <w:i/>
          <w:szCs w:val="24"/>
        </w:rPr>
        <w:footnoteReference w:id="6"/>
      </w:r>
    </w:p>
    <w:p w:rsidR="00E262C7" w:rsidRPr="00271619" w:rsidRDefault="00E262C7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  <w:rPr>
          <w:rFonts w:cs="Times New Roman"/>
          <w:szCs w:val="24"/>
        </w:rPr>
      </w:pPr>
      <w:r w:rsidRPr="00271619">
        <w:rPr>
          <w:rFonts w:cs="Times New Roman"/>
          <w:szCs w:val="24"/>
        </w:rPr>
        <w:tab/>
        <w:t xml:space="preserve">V článku 33. Dodatkového protokolu I. je vytvorené množstvo pravidiel vyplývajúcich zo Ženevských dohovorov, vrátane tých, ktoré sa týkajú poskytovania informácií rodinám a autoritám a výmeny informácií prostredníctvom Informačnej Kancelárie (súpis údajov o ranených, chorých a mŕtvych príslušníkoch nepriateľskej strany treba urobiť čo najskôr a mal by obsahovať všetky dostupné osobné identifikačné údaje, mocnosť ku ktorej patria, vojenský útvar, dátum a miesto zajatia alebo úmrtia, údaje o zraneniach, chorobe alebo príčine smrti). S cieľom uľahčiť hľadanie nezvestných osôb, strany konfliktu musia zaznamenať údaje osôb držaných v zajatí viac ako dva týždne a uľahčiť vykonávanie, vyhľadávanie a záznam informácií týkajúcich sa osôb, ktoré zahynuli na základe iných okolností v dôsledku nepriateľských akcií alebo okupácie. </w:t>
      </w:r>
    </w:p>
    <w:p w:rsidR="00E262C7" w:rsidRDefault="00E262C7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CC009D" w:rsidRDefault="00CC009D" w:rsidP="005D67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90"/>
          <w:tab w:val="left" w:pos="6710"/>
        </w:tabs>
      </w:pPr>
    </w:p>
    <w:p w:rsidR="00D1191A" w:rsidRDefault="00CC009D" w:rsidP="004A4D0A">
      <w:pPr>
        <w:pStyle w:val="Nadpis1"/>
        <w:numPr>
          <w:ilvl w:val="0"/>
          <w:numId w:val="0"/>
        </w:numPr>
        <w:ind w:left="432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55744209"/>
      <w:bookmarkStart w:id="12" w:name="_Toc57031722"/>
      <w:r w:rsidRPr="00D1191A">
        <w:rPr>
          <w:rFonts w:ascii="Times New Roman" w:hAnsi="Times New Roman" w:cs="Times New Roman"/>
          <w:color w:val="auto"/>
          <w:sz w:val="32"/>
          <w:szCs w:val="32"/>
        </w:rPr>
        <w:lastRenderedPageBreak/>
        <w:t>Z</w:t>
      </w:r>
      <w:bookmarkEnd w:id="11"/>
      <w:r w:rsidR="00D1191A">
        <w:rPr>
          <w:rFonts w:ascii="Times New Roman" w:hAnsi="Times New Roman" w:cs="Times New Roman"/>
          <w:color w:val="auto"/>
          <w:sz w:val="32"/>
          <w:szCs w:val="32"/>
        </w:rPr>
        <w:t>ÁVE</w:t>
      </w:r>
      <w:bookmarkEnd w:id="12"/>
      <w:r w:rsidR="004A4D0A">
        <w:rPr>
          <w:rFonts w:ascii="Times New Roman" w:hAnsi="Times New Roman" w:cs="Times New Roman"/>
          <w:color w:val="auto"/>
          <w:sz w:val="32"/>
          <w:szCs w:val="32"/>
        </w:rPr>
        <w:t>R</w:t>
      </w:r>
    </w:p>
    <w:p w:rsidR="004A4D0A" w:rsidRDefault="004A4D0A" w:rsidP="004A4D0A">
      <w:pPr>
        <w:rPr>
          <w:rFonts w:cs="Times New Roman"/>
          <w:color w:val="111111"/>
          <w:szCs w:val="24"/>
        </w:rPr>
      </w:pPr>
      <w:r>
        <w:rPr>
          <w:rFonts w:ascii="Arial" w:hAnsi="Arial" w:cs="Arial"/>
          <w:color w:val="111111"/>
          <w:sz w:val="17"/>
          <w:szCs w:val="17"/>
        </w:rPr>
        <w:br/>
      </w:r>
      <w:r>
        <w:rPr>
          <w:rFonts w:cs="Times New Roman"/>
          <w:color w:val="111111"/>
          <w:szCs w:val="24"/>
        </w:rPr>
        <w:tab/>
      </w:r>
      <w:r w:rsidRPr="004A4D0A">
        <w:rPr>
          <w:rFonts w:cs="Times New Roman"/>
          <w:color w:val="111111"/>
          <w:szCs w:val="24"/>
        </w:rPr>
        <w:t xml:space="preserve">Prvá medzinárodná dohoda o ochrane ranených a chorých príslušníkov armád, ktorá sa do dejín zapísala ako Ženevská konvencia, vznikla 22. augusta 1864. Iniciátorom myšlienky bol zakladateľ Červeného kríža </w:t>
      </w:r>
      <w:proofErr w:type="spellStart"/>
      <w:r w:rsidRPr="004A4D0A">
        <w:rPr>
          <w:rFonts w:cs="Times New Roman"/>
          <w:color w:val="111111"/>
          <w:szCs w:val="24"/>
        </w:rPr>
        <w:t>Henri</w:t>
      </w:r>
      <w:proofErr w:type="spellEnd"/>
      <w:r w:rsidRPr="004A4D0A">
        <w:rPr>
          <w:rFonts w:cs="Times New Roman"/>
          <w:color w:val="111111"/>
          <w:szCs w:val="24"/>
        </w:rPr>
        <w:t xml:space="preserve"> </w:t>
      </w:r>
      <w:proofErr w:type="spellStart"/>
      <w:r w:rsidRPr="004A4D0A">
        <w:rPr>
          <w:rFonts w:cs="Times New Roman"/>
          <w:color w:val="111111"/>
          <w:szCs w:val="24"/>
        </w:rPr>
        <w:t>Dunant</w:t>
      </w:r>
      <w:proofErr w:type="spellEnd"/>
      <w:r w:rsidRPr="004A4D0A">
        <w:rPr>
          <w:rFonts w:cs="Times New Roman"/>
          <w:color w:val="111111"/>
          <w:szCs w:val="24"/>
        </w:rPr>
        <w:t xml:space="preserve">, inšpirovaný pohľadom na ľudské utrpenie v roku 1859 v bitke pri talianskom </w:t>
      </w:r>
      <w:proofErr w:type="spellStart"/>
      <w:r w:rsidRPr="004A4D0A">
        <w:rPr>
          <w:rFonts w:cs="Times New Roman"/>
          <w:color w:val="111111"/>
          <w:szCs w:val="24"/>
        </w:rPr>
        <w:t>Solferine</w:t>
      </w:r>
      <w:proofErr w:type="spellEnd"/>
      <w:r w:rsidRPr="004A4D0A">
        <w:rPr>
          <w:rFonts w:cs="Times New Roman"/>
          <w:color w:val="111111"/>
          <w:szCs w:val="24"/>
        </w:rPr>
        <w:t>. Táto konvencia stanovila nedotknuteľnosť lazaretov a ošetrujúceho personálu pod označením červeného kríža v bielom poli.</w:t>
      </w:r>
      <w:r w:rsidRPr="004A4D0A">
        <w:rPr>
          <w:rFonts w:cs="Times New Roman"/>
          <w:color w:val="111111"/>
          <w:szCs w:val="24"/>
        </w:rPr>
        <w:br/>
      </w:r>
      <w:r>
        <w:rPr>
          <w:rFonts w:cs="Times New Roman"/>
          <w:color w:val="111111"/>
          <w:szCs w:val="24"/>
        </w:rPr>
        <w:tab/>
      </w:r>
      <w:r w:rsidRPr="004A4D0A">
        <w:rPr>
          <w:rFonts w:cs="Times New Roman"/>
          <w:color w:val="111111"/>
          <w:szCs w:val="24"/>
        </w:rPr>
        <w:t>Ďalší dohovor - z roku 1899 - sa týka ochrany chorých, ranených a stroskotancov v námornej vojne. Výraz stroskotanie sa pritom vzťahuje nielen na lode, ale aj na núdzové pristátie lietadla na mori či jeho pád do mora.</w:t>
      </w:r>
    </w:p>
    <w:p w:rsidR="004A4D0A" w:rsidRPr="004A4D0A" w:rsidRDefault="004A4D0A" w:rsidP="004A4D0A">
      <w:pPr>
        <w:rPr>
          <w:rFonts w:cs="Times New Roman"/>
          <w:szCs w:val="24"/>
        </w:rPr>
      </w:pPr>
      <w:r w:rsidRPr="004A4D0A">
        <w:rPr>
          <w:rFonts w:cs="Times New Roman"/>
          <w:color w:val="111111"/>
          <w:szCs w:val="24"/>
        </w:rPr>
        <w:tab/>
        <w:t xml:space="preserve">Ženevské </w:t>
      </w:r>
      <w:r>
        <w:rPr>
          <w:rFonts w:cs="Times New Roman"/>
          <w:color w:val="111111"/>
          <w:szCs w:val="24"/>
        </w:rPr>
        <w:t xml:space="preserve">dohovory </w:t>
      </w:r>
      <w:r w:rsidRPr="004A4D0A">
        <w:rPr>
          <w:rFonts w:cs="Times New Roman"/>
          <w:color w:val="111111"/>
          <w:szCs w:val="24"/>
        </w:rPr>
        <w:t>boli navyše pozmenené tromi dodatkovými protokolmi: V roku 1977 dodatkovým protokolom o ochrane obetí medzinárodných ozbrojených konfliktov a Dodatkovým protokolom o ochrane obetí ozbrojených konfliktov nemajúcich medzinárodný charakter. V roku 2005 pribudol tretí dodatkový protokol o prijatí ďalšieho rozoznávacieho znaku, červeného kryštálu.</w:t>
      </w:r>
    </w:p>
    <w:p w:rsidR="00D1191A" w:rsidRDefault="004A4D0A" w:rsidP="00D1191A">
      <w:r>
        <w:tab/>
        <w:t xml:space="preserve">Cieľom tejto práce bolo bližšie priblížiť </w:t>
      </w:r>
      <w:r w:rsidR="00E7690C">
        <w:t xml:space="preserve">„Ochranu ranených, chorých a stroskotancov“ v rámci Ženevských dohovorov. Ako sme sa mohli v tejto práci dočítať Ženevský dohovor I. a </w:t>
      </w:r>
      <w:r w:rsidR="00E7690C" w:rsidRPr="00271619">
        <w:rPr>
          <w:rFonts w:cs="Times New Roman"/>
          <w:szCs w:val="24"/>
        </w:rPr>
        <w:t>II. Ženevský dohovor</w:t>
      </w:r>
      <w:r w:rsidR="00E7690C">
        <w:rPr>
          <w:rFonts w:cs="Times New Roman"/>
          <w:szCs w:val="24"/>
        </w:rPr>
        <w:t>, že</w:t>
      </w:r>
      <w:r w:rsidR="00E7690C" w:rsidRPr="00271619">
        <w:rPr>
          <w:rFonts w:cs="Times New Roman"/>
          <w:szCs w:val="24"/>
        </w:rPr>
        <w:t xml:space="preserve"> </w:t>
      </w:r>
      <w:r w:rsidR="00E7690C">
        <w:rPr>
          <w:rFonts w:cs="Times New Roman"/>
          <w:szCs w:val="24"/>
        </w:rPr>
        <w:t>p</w:t>
      </w:r>
      <w:r w:rsidR="00E7690C" w:rsidRPr="00271619">
        <w:rPr>
          <w:rFonts w:cs="Times New Roman"/>
          <w:szCs w:val="24"/>
        </w:rPr>
        <w:t>rincípy oboch dohovorov sú totožné a rovnaké pravidlá sa aplikujú aj pre chránené osoby a ich vlastníctvo. Všetko vzhľadom na odlišné podmienky panujúce na zemi i na mori.</w:t>
      </w:r>
    </w:p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/>
    <w:p w:rsidR="00D1191A" w:rsidRDefault="00D1191A" w:rsidP="00D1191A">
      <w:pPr>
        <w:pStyle w:val="Nadpis1"/>
        <w:numPr>
          <w:ilvl w:val="0"/>
          <w:numId w:val="0"/>
        </w:numPr>
        <w:ind w:left="432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3" w:name="_Toc40878924"/>
      <w:bookmarkStart w:id="14" w:name="_Toc57031723"/>
      <w:r w:rsidRPr="004F0CCA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ZOZNAM POUŽITEJ LITERATÚRY</w:t>
      </w:r>
      <w:bookmarkEnd w:id="13"/>
      <w:bookmarkEnd w:id="14"/>
    </w:p>
    <w:p w:rsidR="00FA1B8A" w:rsidRPr="00FA1B8A" w:rsidRDefault="00FA1B8A" w:rsidP="00FA1B8A"/>
    <w:p w:rsidR="00FA1B8A" w:rsidRDefault="00FA1B8A" w:rsidP="00FA1B8A">
      <w:pPr>
        <w:rPr>
          <w:color w:val="000000" w:themeColor="text1"/>
        </w:rPr>
      </w:pPr>
      <w:r w:rsidRPr="00FA1B8A">
        <w:rPr>
          <w:color w:val="000000" w:themeColor="text1"/>
        </w:rPr>
        <w:t>1</w:t>
      </w:r>
      <w:r w:rsidRPr="00FA1B8A">
        <w:rPr>
          <w:color w:val="000000" w:themeColor="text1"/>
        </w:rPr>
        <w:tab/>
      </w:r>
      <w:r w:rsidRPr="00FA1B8A">
        <w:rPr>
          <w:i/>
          <w:color w:val="000000" w:themeColor="text1"/>
        </w:rPr>
        <w:t>Ženevské dohovory I., II.</w:t>
      </w:r>
      <w:r w:rsidRPr="00FA1B8A">
        <w:rPr>
          <w:color w:val="000000" w:themeColor="text1"/>
        </w:rPr>
        <w:t xml:space="preserve"> [</w:t>
      </w:r>
      <w:proofErr w:type="spellStart"/>
      <w:r w:rsidRPr="00FA1B8A">
        <w:rPr>
          <w:color w:val="000000" w:themeColor="text1"/>
        </w:rPr>
        <w:t>online</w:t>
      </w:r>
      <w:proofErr w:type="spellEnd"/>
      <w:r w:rsidRPr="00FA1B8A">
        <w:rPr>
          <w:color w:val="000000" w:themeColor="text1"/>
        </w:rPr>
        <w:t xml:space="preserve">] Dostupné na internete: </w:t>
      </w:r>
      <w:hyperlink r:id="rId8" w:history="1">
        <w:r w:rsidRPr="00FA1B8A">
          <w:rPr>
            <w:rStyle w:val="Hypertextovprepojenie"/>
            <w:color w:val="000000" w:themeColor="text1"/>
          </w:rPr>
          <w:t>https://www.slov-lex.sk/pravne-predpisy/SK/ZZ/1954/65/</w:t>
        </w:r>
      </w:hyperlink>
    </w:p>
    <w:p w:rsidR="00E965A7" w:rsidRPr="00FA1B8A" w:rsidRDefault="00E965A7" w:rsidP="00FA1B8A">
      <w:pPr>
        <w:rPr>
          <w:color w:val="000000" w:themeColor="text1"/>
        </w:rPr>
      </w:pPr>
    </w:p>
    <w:p w:rsidR="00FA1B8A" w:rsidRDefault="00FA1B8A" w:rsidP="00FA1B8A">
      <w:pPr>
        <w:pStyle w:val="Normlnywebov"/>
        <w:shd w:val="clear" w:color="auto" w:fill="FFFFFF"/>
        <w:spacing w:before="0" w:beforeAutospacing="0" w:afterAutospacing="0"/>
        <w:jc w:val="both"/>
        <w:rPr>
          <w:color w:val="000000" w:themeColor="text1"/>
        </w:rPr>
      </w:pPr>
      <w:r w:rsidRPr="00FA1B8A">
        <w:rPr>
          <w:color w:val="000000" w:themeColor="text1"/>
        </w:rPr>
        <w:t>2</w:t>
      </w:r>
      <w:r w:rsidRPr="00FA1B8A">
        <w:rPr>
          <w:color w:val="000000" w:themeColor="text1"/>
        </w:rPr>
        <w:tab/>
      </w:r>
      <w:r w:rsidRPr="00FA1B8A">
        <w:rPr>
          <w:i/>
          <w:color w:val="000000" w:themeColor="text1"/>
        </w:rPr>
        <w:t xml:space="preserve">Dodatkové  protokoly I a II k Ženevským dohovorom z 12.8. 1949 </w:t>
      </w:r>
      <w:r w:rsidRPr="00FA1B8A">
        <w:rPr>
          <w:color w:val="000000" w:themeColor="text1"/>
        </w:rPr>
        <w:t>[</w:t>
      </w:r>
      <w:proofErr w:type="spellStart"/>
      <w:r w:rsidRPr="00FA1B8A">
        <w:rPr>
          <w:color w:val="000000" w:themeColor="text1"/>
        </w:rPr>
        <w:t>online</w:t>
      </w:r>
      <w:proofErr w:type="spellEnd"/>
      <w:r w:rsidRPr="00FA1B8A">
        <w:rPr>
          <w:color w:val="000000" w:themeColor="text1"/>
        </w:rPr>
        <w:t xml:space="preserve">] Dostupné na internete: </w:t>
      </w:r>
      <w:hyperlink r:id="rId9" w:history="1">
        <w:r w:rsidRPr="00DD0F5F">
          <w:rPr>
            <w:rStyle w:val="Hypertextovprepojenie"/>
            <w:color w:val="000000" w:themeColor="text1"/>
          </w:rPr>
          <w:t>https://www.noveaspi.sk/products/lawText/1/39171/1/2/sdeleni-c-168-1991-zb-o-dodatkovych-protokoloch-i-a-ii-k-zenevskym-dohovorom-z-12-augusta-1949-o-ochrane-obeti-medzinarodnych-ozbrojenych-konfliktov-a-konfliktov-nemajucich-medzinarodny-charakter-prijatych-v-zeneve-8-juna-1977/sdeleni-c-168-1991-zb-o-dodatkovych-protokoloch-i-a-ii-k-zenevskym-dohovorom-z-12-augusta-1949-o-ochrane-obeti-medzinarodnych-ozbrojenych-konfliktov-a-konfliktov-nemajucich-medzinarodny-charakter-prijatych-v-zeneve-8-juna-1977</w:t>
        </w:r>
      </w:hyperlink>
    </w:p>
    <w:p w:rsidR="00E965A7" w:rsidRPr="00FA1B8A" w:rsidRDefault="00E965A7" w:rsidP="00FA1B8A">
      <w:pPr>
        <w:pStyle w:val="Normlnywebov"/>
        <w:shd w:val="clear" w:color="auto" w:fill="FFFFFF"/>
        <w:spacing w:before="0" w:beforeAutospacing="0" w:afterAutospacing="0"/>
        <w:jc w:val="both"/>
        <w:rPr>
          <w:color w:val="000000" w:themeColor="text1"/>
        </w:rPr>
      </w:pPr>
    </w:p>
    <w:p w:rsidR="00FA1B8A" w:rsidRDefault="00DD0F5F" w:rsidP="00FA1B8A">
      <w:pPr>
        <w:rPr>
          <w:color w:val="000000" w:themeColor="text1"/>
        </w:rPr>
      </w:pPr>
      <w:r>
        <w:t>3</w:t>
      </w:r>
      <w:r>
        <w:tab/>
      </w:r>
      <w:r w:rsidRPr="00E965A7">
        <w:rPr>
          <w:i/>
        </w:rPr>
        <w:t>Ženevské dohovory 1949</w:t>
      </w:r>
      <w:r>
        <w:t xml:space="preserve"> </w:t>
      </w:r>
      <w:r w:rsidRPr="00FA1B8A">
        <w:rPr>
          <w:color w:val="000000" w:themeColor="text1"/>
        </w:rPr>
        <w:t>[</w:t>
      </w:r>
      <w:proofErr w:type="spellStart"/>
      <w:r w:rsidRPr="00FA1B8A">
        <w:rPr>
          <w:color w:val="000000" w:themeColor="text1"/>
        </w:rPr>
        <w:t>online</w:t>
      </w:r>
      <w:proofErr w:type="spellEnd"/>
      <w:r w:rsidRPr="00FA1B8A">
        <w:rPr>
          <w:color w:val="000000" w:themeColor="text1"/>
        </w:rPr>
        <w:t>] Dostupné na internete:</w:t>
      </w:r>
      <w:r>
        <w:rPr>
          <w:color w:val="000000" w:themeColor="text1"/>
        </w:rPr>
        <w:t xml:space="preserve"> </w:t>
      </w:r>
      <w:hyperlink r:id="rId10" w:history="1">
        <w:r w:rsidR="00E965A7" w:rsidRPr="00E965A7">
          <w:rPr>
            <w:rStyle w:val="Hypertextovprepojenie"/>
            <w:color w:val="000000" w:themeColor="text1"/>
          </w:rPr>
          <w:t>https://redcross.sk/zenevske-dohovory-1949/</w:t>
        </w:r>
      </w:hyperlink>
    </w:p>
    <w:p w:rsidR="00E965A7" w:rsidRDefault="00E965A7" w:rsidP="00FA1B8A">
      <w:pPr>
        <w:rPr>
          <w:color w:val="000000" w:themeColor="text1"/>
        </w:rPr>
      </w:pPr>
    </w:p>
    <w:p w:rsidR="00E965A7" w:rsidRPr="00E965A7" w:rsidRDefault="00E965A7" w:rsidP="00FA1B8A">
      <w:pPr>
        <w:rPr>
          <w:i/>
          <w:color w:val="000000" w:themeColor="text1"/>
        </w:rPr>
      </w:pPr>
      <w:r>
        <w:rPr>
          <w:color w:val="000000" w:themeColor="text1"/>
        </w:rPr>
        <w:t>4</w:t>
      </w:r>
      <w:r>
        <w:rPr>
          <w:color w:val="000000" w:themeColor="text1"/>
        </w:rPr>
        <w:tab/>
        <w:t xml:space="preserve">SAKÁČOVÁ A.,: </w:t>
      </w:r>
      <w:r>
        <w:rPr>
          <w:i/>
          <w:color w:val="000000" w:themeColor="text1"/>
        </w:rPr>
        <w:t xml:space="preserve">Medzinárodné humanitárne právo </w:t>
      </w:r>
      <w:r>
        <w:t>[bakalárska práca]. Banská Bystrica: UMB, 2017.</w:t>
      </w:r>
    </w:p>
    <w:p w:rsidR="00E965A7" w:rsidRPr="00FA1B8A" w:rsidRDefault="00E965A7" w:rsidP="00FA1B8A"/>
    <w:sectPr w:rsidR="00E965A7" w:rsidRPr="00FA1B8A" w:rsidSect="003F5B6D">
      <w:headerReference w:type="default" r:id="rId11"/>
      <w:footerReference w:type="default" r:id="rId12"/>
      <w:pgSz w:w="11906" w:h="16838"/>
      <w:pgMar w:top="1417" w:right="1417" w:bottom="1417" w:left="1417" w:header="454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0A58" w:rsidRDefault="00B40A58" w:rsidP="00AB5A65">
      <w:pPr>
        <w:spacing w:after="0" w:line="240" w:lineRule="auto"/>
      </w:pPr>
      <w:r>
        <w:separator/>
      </w:r>
    </w:p>
  </w:endnote>
  <w:endnote w:type="continuationSeparator" w:id="0">
    <w:p w:rsidR="00B40A58" w:rsidRDefault="00B40A58" w:rsidP="00AB5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edra-display-heav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676927"/>
      <w:docPartObj>
        <w:docPartGallery w:val="Page Numbers (Bottom of Page)"/>
        <w:docPartUnique/>
      </w:docPartObj>
    </w:sdtPr>
    <w:sdtContent>
      <w:p w:rsidR="006C506C" w:rsidRDefault="006C506C">
        <w:pPr>
          <w:pStyle w:val="Pta"/>
          <w:jc w:val="center"/>
        </w:pPr>
        <w:fldSimple w:instr=" PAGE   \* MERGEFORMAT ">
          <w:r w:rsidR="00E7690C">
            <w:rPr>
              <w:noProof/>
            </w:rPr>
            <w:t>7</w:t>
          </w:r>
        </w:fldSimple>
      </w:p>
    </w:sdtContent>
  </w:sdt>
  <w:p w:rsidR="006C506C" w:rsidRDefault="006C506C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0A58" w:rsidRDefault="00B40A58" w:rsidP="00AB5A65">
      <w:pPr>
        <w:spacing w:after="0" w:line="240" w:lineRule="auto"/>
      </w:pPr>
      <w:r>
        <w:separator/>
      </w:r>
    </w:p>
  </w:footnote>
  <w:footnote w:type="continuationSeparator" w:id="0">
    <w:p w:rsidR="00B40A58" w:rsidRDefault="00B40A58" w:rsidP="00AB5A65">
      <w:pPr>
        <w:spacing w:after="0" w:line="240" w:lineRule="auto"/>
      </w:pPr>
      <w:r>
        <w:continuationSeparator/>
      </w:r>
    </w:p>
  </w:footnote>
  <w:footnote w:id="1">
    <w:p w:rsidR="006C506C" w:rsidRDefault="006C506C">
      <w:pPr>
        <w:pStyle w:val="Textpoznmkypodiarou"/>
      </w:pPr>
      <w:r>
        <w:rPr>
          <w:rStyle w:val="Odkaznapoznmkupodiarou"/>
        </w:rPr>
        <w:footnoteRef/>
      </w:r>
      <w:r>
        <w:t xml:space="preserve"> Dodatkový protokol I, článok 8, odsek </w:t>
      </w:r>
      <w:proofErr w:type="spellStart"/>
      <w:r>
        <w:t>a,b</w:t>
      </w:r>
      <w:proofErr w:type="spellEnd"/>
      <w:r>
        <w:t>.</w:t>
      </w:r>
    </w:p>
  </w:footnote>
  <w:footnote w:id="2">
    <w:p w:rsidR="006C506C" w:rsidRDefault="006C506C">
      <w:pPr>
        <w:pStyle w:val="Textpoznmkypodiarou"/>
      </w:pPr>
      <w:r>
        <w:rPr>
          <w:rStyle w:val="Odkaznapoznmkupodiarou"/>
        </w:rPr>
        <w:footnoteRef/>
      </w:r>
      <w:r>
        <w:t xml:space="preserve"> Prvý, Druhý Ženevský dohovor, článok 12.</w:t>
      </w:r>
    </w:p>
  </w:footnote>
  <w:footnote w:id="3">
    <w:p w:rsidR="006C506C" w:rsidRDefault="006C506C">
      <w:pPr>
        <w:pStyle w:val="Textpoznmkypodiarou"/>
      </w:pPr>
      <w:r>
        <w:rPr>
          <w:rStyle w:val="Odkaznapoznmkupodiarou"/>
        </w:rPr>
        <w:footnoteRef/>
      </w:r>
      <w:r>
        <w:t xml:space="preserve"> Prvý Ženevský dohovor, článok 15., Druhý Ženevský dohovor, článok 18.</w:t>
      </w:r>
    </w:p>
  </w:footnote>
  <w:footnote w:id="4">
    <w:p w:rsidR="006C506C" w:rsidRDefault="006C506C">
      <w:pPr>
        <w:pStyle w:val="Textpoznmkypodiarou"/>
      </w:pPr>
      <w:r>
        <w:rPr>
          <w:rStyle w:val="Odkaznapoznmkupodiarou"/>
        </w:rPr>
        <w:footnoteRef/>
      </w:r>
      <w:r>
        <w:t xml:space="preserve"> Prvý Ženevský dohovor, článok 18., Druhý Ženevský dohovor, článok 21., Dodatkový protokol I, článok 17.</w:t>
      </w:r>
    </w:p>
  </w:footnote>
  <w:footnote w:id="5">
    <w:p w:rsidR="006C506C" w:rsidRDefault="006C506C">
      <w:pPr>
        <w:pStyle w:val="Textpoznmkypodiarou"/>
      </w:pPr>
      <w:r>
        <w:rPr>
          <w:rStyle w:val="Odkaznapoznmkupodiarou"/>
        </w:rPr>
        <w:footnoteRef/>
      </w:r>
      <w:r>
        <w:t xml:space="preserve"> Prvý Ženevský dohovor, článok 18, odsek 3.</w:t>
      </w:r>
    </w:p>
  </w:footnote>
  <w:footnote w:id="6">
    <w:p w:rsidR="006C506C" w:rsidRDefault="006C506C">
      <w:pPr>
        <w:pStyle w:val="Textpoznmkypodiarou"/>
      </w:pPr>
      <w:r>
        <w:rPr>
          <w:rStyle w:val="Odkaznapoznmkupodiarou"/>
        </w:rPr>
        <w:footnoteRef/>
      </w:r>
      <w:r>
        <w:t xml:space="preserve"> Dodatkový protokol I, článok 33, odsek 1.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06C" w:rsidRDefault="006C506C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65AC7"/>
    <w:multiLevelType w:val="hybridMultilevel"/>
    <w:tmpl w:val="C1E4E3C2"/>
    <w:lvl w:ilvl="0" w:tplc="1A5C92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11A06"/>
    <w:multiLevelType w:val="hybridMultilevel"/>
    <w:tmpl w:val="AD564E8E"/>
    <w:lvl w:ilvl="0" w:tplc="6354E27E">
      <w:numFmt w:val="bullet"/>
      <w:lvlText w:val="-"/>
      <w:lvlJc w:val="left"/>
      <w:pPr>
        <w:ind w:left="107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>
    <w:nsid w:val="0C681F5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BD6B2F"/>
    <w:multiLevelType w:val="hybridMultilevel"/>
    <w:tmpl w:val="8EC4879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C13DE"/>
    <w:multiLevelType w:val="multilevel"/>
    <w:tmpl w:val="3F66BF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C8E2CC3"/>
    <w:multiLevelType w:val="hybridMultilevel"/>
    <w:tmpl w:val="E5D4B524"/>
    <w:lvl w:ilvl="0" w:tplc="041B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>
    <w:nsid w:val="39F3660D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686810"/>
    <w:multiLevelType w:val="hybridMultilevel"/>
    <w:tmpl w:val="07A467C6"/>
    <w:lvl w:ilvl="0" w:tplc="6354E27E">
      <w:numFmt w:val="bullet"/>
      <w:lvlText w:val="-"/>
      <w:lvlJc w:val="left"/>
      <w:pPr>
        <w:ind w:left="17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8">
    <w:nsid w:val="4BE67E5C"/>
    <w:multiLevelType w:val="hybridMultilevel"/>
    <w:tmpl w:val="E27E978A"/>
    <w:lvl w:ilvl="0" w:tplc="6354E27E">
      <w:numFmt w:val="bullet"/>
      <w:lvlText w:val="-"/>
      <w:lvlJc w:val="left"/>
      <w:pPr>
        <w:ind w:left="1430" w:hanging="360"/>
      </w:pPr>
      <w:rPr>
        <w:rFonts w:ascii="Times New Roman" w:eastAsiaTheme="minorHAnsi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9">
    <w:nsid w:val="508672C2"/>
    <w:multiLevelType w:val="hybridMultilevel"/>
    <w:tmpl w:val="B46664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B14C72"/>
    <w:multiLevelType w:val="hybridMultilevel"/>
    <w:tmpl w:val="EAE020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1C4E2C"/>
    <w:multiLevelType w:val="multilevel"/>
    <w:tmpl w:val="041B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2">
    <w:nsid w:val="5F9C280C"/>
    <w:multiLevelType w:val="hybridMultilevel"/>
    <w:tmpl w:val="1BE451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B187D"/>
    <w:multiLevelType w:val="multilevel"/>
    <w:tmpl w:val="4E8CB4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5E2C62"/>
    <w:multiLevelType w:val="hybridMultilevel"/>
    <w:tmpl w:val="AF68AE10"/>
    <w:lvl w:ilvl="0" w:tplc="041B000F">
      <w:start w:val="1"/>
      <w:numFmt w:val="decimal"/>
      <w:lvlText w:val="%1."/>
      <w:lvlJc w:val="left"/>
      <w:pPr>
        <w:ind w:left="1430" w:hanging="360"/>
      </w:pPr>
    </w:lvl>
    <w:lvl w:ilvl="1" w:tplc="041B0019" w:tentative="1">
      <w:start w:val="1"/>
      <w:numFmt w:val="lowerLetter"/>
      <w:lvlText w:val="%2."/>
      <w:lvlJc w:val="left"/>
      <w:pPr>
        <w:ind w:left="2150" w:hanging="360"/>
      </w:pPr>
    </w:lvl>
    <w:lvl w:ilvl="2" w:tplc="041B001B" w:tentative="1">
      <w:start w:val="1"/>
      <w:numFmt w:val="lowerRoman"/>
      <w:lvlText w:val="%3."/>
      <w:lvlJc w:val="right"/>
      <w:pPr>
        <w:ind w:left="2870" w:hanging="180"/>
      </w:pPr>
    </w:lvl>
    <w:lvl w:ilvl="3" w:tplc="041B000F" w:tentative="1">
      <w:start w:val="1"/>
      <w:numFmt w:val="decimal"/>
      <w:lvlText w:val="%4."/>
      <w:lvlJc w:val="left"/>
      <w:pPr>
        <w:ind w:left="3590" w:hanging="360"/>
      </w:pPr>
    </w:lvl>
    <w:lvl w:ilvl="4" w:tplc="041B0019" w:tentative="1">
      <w:start w:val="1"/>
      <w:numFmt w:val="lowerLetter"/>
      <w:lvlText w:val="%5."/>
      <w:lvlJc w:val="left"/>
      <w:pPr>
        <w:ind w:left="4310" w:hanging="360"/>
      </w:pPr>
    </w:lvl>
    <w:lvl w:ilvl="5" w:tplc="041B001B" w:tentative="1">
      <w:start w:val="1"/>
      <w:numFmt w:val="lowerRoman"/>
      <w:lvlText w:val="%6."/>
      <w:lvlJc w:val="right"/>
      <w:pPr>
        <w:ind w:left="5030" w:hanging="180"/>
      </w:pPr>
    </w:lvl>
    <w:lvl w:ilvl="6" w:tplc="041B000F" w:tentative="1">
      <w:start w:val="1"/>
      <w:numFmt w:val="decimal"/>
      <w:lvlText w:val="%7."/>
      <w:lvlJc w:val="left"/>
      <w:pPr>
        <w:ind w:left="5750" w:hanging="360"/>
      </w:pPr>
    </w:lvl>
    <w:lvl w:ilvl="7" w:tplc="041B0019" w:tentative="1">
      <w:start w:val="1"/>
      <w:numFmt w:val="lowerLetter"/>
      <w:lvlText w:val="%8."/>
      <w:lvlJc w:val="left"/>
      <w:pPr>
        <w:ind w:left="6470" w:hanging="360"/>
      </w:pPr>
    </w:lvl>
    <w:lvl w:ilvl="8" w:tplc="041B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5">
    <w:nsid w:val="773035E1"/>
    <w:multiLevelType w:val="hybridMultilevel"/>
    <w:tmpl w:val="5094A55A"/>
    <w:lvl w:ilvl="0" w:tplc="1A5C92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2D65B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16"/>
  </w:num>
  <w:num w:numId="5">
    <w:abstractNumId w:val="6"/>
  </w:num>
  <w:num w:numId="6">
    <w:abstractNumId w:val="4"/>
  </w:num>
  <w:num w:numId="7">
    <w:abstractNumId w:val="11"/>
  </w:num>
  <w:num w:numId="8">
    <w:abstractNumId w:val="3"/>
  </w:num>
  <w:num w:numId="9">
    <w:abstractNumId w:val="12"/>
  </w:num>
  <w:num w:numId="10">
    <w:abstractNumId w:val="1"/>
  </w:num>
  <w:num w:numId="11">
    <w:abstractNumId w:val="7"/>
  </w:num>
  <w:num w:numId="12">
    <w:abstractNumId w:val="14"/>
  </w:num>
  <w:num w:numId="13">
    <w:abstractNumId w:val="8"/>
  </w:num>
  <w:num w:numId="14">
    <w:abstractNumId w:val="5"/>
  </w:num>
  <w:num w:numId="15">
    <w:abstractNumId w:val="10"/>
  </w:num>
  <w:num w:numId="16">
    <w:abstractNumId w:val="9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4A32FB"/>
    <w:rsid w:val="00010B46"/>
    <w:rsid w:val="001D5EAD"/>
    <w:rsid w:val="001E2948"/>
    <w:rsid w:val="00271619"/>
    <w:rsid w:val="003C7A38"/>
    <w:rsid w:val="003F5B6D"/>
    <w:rsid w:val="00443CAB"/>
    <w:rsid w:val="00446B02"/>
    <w:rsid w:val="0049529E"/>
    <w:rsid w:val="004A32FB"/>
    <w:rsid w:val="004A4D0A"/>
    <w:rsid w:val="004B4071"/>
    <w:rsid w:val="004C3F83"/>
    <w:rsid w:val="005166B2"/>
    <w:rsid w:val="005D6784"/>
    <w:rsid w:val="00623841"/>
    <w:rsid w:val="006C506C"/>
    <w:rsid w:val="00720A5A"/>
    <w:rsid w:val="007A2887"/>
    <w:rsid w:val="007A6B0C"/>
    <w:rsid w:val="007E335E"/>
    <w:rsid w:val="008B5B88"/>
    <w:rsid w:val="008B7088"/>
    <w:rsid w:val="00914E5E"/>
    <w:rsid w:val="0097772A"/>
    <w:rsid w:val="00A63D25"/>
    <w:rsid w:val="00A82D06"/>
    <w:rsid w:val="00A9387B"/>
    <w:rsid w:val="00AB5A65"/>
    <w:rsid w:val="00B40A58"/>
    <w:rsid w:val="00B84CB0"/>
    <w:rsid w:val="00C930DD"/>
    <w:rsid w:val="00CC009D"/>
    <w:rsid w:val="00CD291F"/>
    <w:rsid w:val="00CE63F6"/>
    <w:rsid w:val="00D1191A"/>
    <w:rsid w:val="00D96FB7"/>
    <w:rsid w:val="00DD0F5F"/>
    <w:rsid w:val="00DF2CB2"/>
    <w:rsid w:val="00E262C7"/>
    <w:rsid w:val="00E7690C"/>
    <w:rsid w:val="00E936F8"/>
    <w:rsid w:val="00E965A7"/>
    <w:rsid w:val="00F51FE6"/>
    <w:rsid w:val="00F53666"/>
    <w:rsid w:val="00FA1B8A"/>
    <w:rsid w:val="00FB1F2A"/>
    <w:rsid w:val="00FC1B7E"/>
    <w:rsid w:val="00FE1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2FB"/>
    <w:pPr>
      <w:spacing w:after="40"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E14A2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71619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271619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71619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7161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7161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7161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7161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7161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E1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">
    <w:name w:val="header"/>
    <w:basedOn w:val="Normlny"/>
    <w:link w:val="HlavikaChar"/>
    <w:uiPriority w:val="99"/>
    <w:unhideWhenUsed/>
    <w:rsid w:val="00AB5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B5A65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AB5A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B5A65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B5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B5A65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Predvolenpsmoodseku"/>
    <w:link w:val="Nadpis2"/>
    <w:uiPriority w:val="9"/>
    <w:rsid w:val="002716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27161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7161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7161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7161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7161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7161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716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lavikaobsahu">
    <w:name w:val="TOC Heading"/>
    <w:basedOn w:val="Nadpis1"/>
    <w:next w:val="Normlny"/>
    <w:uiPriority w:val="39"/>
    <w:unhideWhenUsed/>
    <w:qFormat/>
    <w:rsid w:val="00CC009D"/>
    <w:pPr>
      <w:numPr>
        <w:numId w:val="0"/>
      </w:numPr>
      <w:spacing w:line="276" w:lineRule="auto"/>
      <w:jc w:val="left"/>
      <w:outlineLvl w:val="9"/>
    </w:pPr>
  </w:style>
  <w:style w:type="paragraph" w:styleId="Obsah1">
    <w:name w:val="toc 1"/>
    <w:basedOn w:val="Normlny"/>
    <w:next w:val="Normlny"/>
    <w:autoRedefine/>
    <w:uiPriority w:val="39"/>
    <w:unhideWhenUsed/>
    <w:rsid w:val="00CC009D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CC009D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CC009D"/>
    <w:rPr>
      <w:color w:val="0000FF" w:themeColor="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E936F8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E936F8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E936F8"/>
    <w:rPr>
      <w:vertAlign w:val="superscript"/>
    </w:rPr>
  </w:style>
  <w:style w:type="paragraph" w:styleId="Odsekzoznamu">
    <w:name w:val="List Paragraph"/>
    <w:basedOn w:val="Normlny"/>
    <w:uiPriority w:val="34"/>
    <w:qFormat/>
    <w:rsid w:val="00DF2CB2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FA1B8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8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lov-lex.sk/pravne-predpisy/SK/ZZ/1954/6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redcross.sk/zenevske-dohovory-194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veaspi.sk/products/lawText/1/39171/1/2/sdeleni-c-168-1991-zb-o-dodatkovych-protokoloch-i-a-ii-k-zenevskym-dohovorom-z-12-augusta-1949-o-ochrane-obeti-medzinarodnych-ozbrojenych-konfliktov-a-konfliktov-nemajucich-medzinarodny-charakter-prijatych-v-zeneve-8-juna-1977/sdeleni-c-168-1991-zb-o-dodatkovych-protokoloch-i-a-ii-k-zenevskym-dohovorom-z-12-augusta-1949-o-ochrane-obeti-medzinarodnych-ozbrojenych-konfliktov-a-konfliktov-nemajucich-medzinarodny-charakter-prijatych-v-zeneve-8-juna-197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0BF849-8847-48DD-9BE6-C7B125FD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3746</TotalTime>
  <Pages>1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2020-11-19T12:05:00Z</cp:lastPrinted>
  <dcterms:created xsi:type="dcterms:W3CDTF">2020-11-02T07:32:00Z</dcterms:created>
  <dcterms:modified xsi:type="dcterms:W3CDTF">2020-11-23T14:09:00Z</dcterms:modified>
</cp:coreProperties>
</file>