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05" w:rsidRDefault="00485E05" w:rsidP="001F02D5">
      <w:pPr>
        <w:pStyle w:val="Nzov"/>
        <w:jc w:val="both"/>
      </w:pPr>
      <w:r>
        <w:t>Jednoduché právne písomnosti</w:t>
      </w:r>
      <w:r w:rsidR="001F02D5">
        <w:tab/>
      </w:r>
      <w:r w:rsidR="001F02D5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  <w:r>
        <w:rPr>
          <w:sz w:val="36"/>
          <w:szCs w:val="36"/>
        </w:rPr>
        <w:t>_ext.</w:t>
      </w:r>
    </w:p>
    <w:p w:rsidR="002779C0" w:rsidRDefault="00485E05" w:rsidP="002779C0">
      <w:pPr>
        <w:spacing w:line="360" w:lineRule="auto"/>
        <w:ind w:firstLine="708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10101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V písomnom styku organizácií sa vyhotovujú pri rôznych činnostiach aj špeciálne písomnosti právneho charakteru. Jednoduché právne listiny, ktorých forma a obsah sú ustálené, dokážeme zostaviť aj sami a nepotrebujeme na to pomoc advokátskej poradne, notára ani právnika organizácie.</w:t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Musia obsahovať určité údaje, ktoré jednoznačne vyjadrujú vôľu vystavovateľa alebo vôľu oboch zmluvných strán. Ich vonkajšia úprava vyplýva z požiadaviek prehľadnosti písomného vyhotovenia príslušného právneho aktu.</w:t>
      </w:r>
    </w:p>
    <w:p w:rsidR="002779C0" w:rsidRDefault="00485E05" w:rsidP="002779C0">
      <w:pPr>
        <w:spacing w:line="360" w:lineRule="auto"/>
        <w:ind w:firstLine="708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Zložitejšie právne listiny musia skutočnosť vyjadriť presne, preto ich vydávajú alebo vystavujú rôzne verejné orgány, napríklad súdy, notárstva, zastupiteľské úrady a podobne.</w:t>
      </w:r>
    </w:p>
    <w:p w:rsidR="002779C0" w:rsidRPr="002779C0" w:rsidRDefault="00485E05" w:rsidP="002779C0">
      <w:pPr>
        <w:spacing w:line="360" w:lineRule="auto"/>
        <w:jc w:val="both"/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  <w:t>Jednoduché právne listiny</w:t>
      </w:r>
      <w:r w:rsidR="002779C0" w:rsidRPr="002779C0"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  <w:t>:</w:t>
      </w:r>
    </w:p>
    <w:p w:rsidR="002779C0" w:rsidRPr="002779C0" w:rsidRDefault="002779C0" w:rsidP="002779C0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potvrdenie,</w:t>
      </w:r>
    </w:p>
    <w:p w:rsidR="002779C0" w:rsidRPr="002779C0" w:rsidRDefault="002779C0" w:rsidP="002779C0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splnomocnenie,</w:t>
      </w:r>
    </w:p>
    <w:p w:rsidR="002779C0" w:rsidRPr="002779C0" w:rsidRDefault="002779C0" w:rsidP="002779C0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uznanie dlhu,</w:t>
      </w:r>
    </w:p>
    <w:p w:rsidR="002779C0" w:rsidRPr="002779C0" w:rsidRDefault="002779C0" w:rsidP="002779C0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rôzne druhy zmlúv,</w:t>
      </w:r>
    </w:p>
    <w:p w:rsidR="002779C0" w:rsidRDefault="002779C0" w:rsidP="002779C0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záručné listy.</w:t>
      </w:r>
    </w:p>
    <w:p w:rsidR="002779C0" w:rsidRDefault="00485E05" w:rsidP="002779C0">
      <w:p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Potvrdenie</w:t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Je jednoduchá písomnosť právneho charakteru, ktorá sa vystavuje na také právne konania, pri ktorých veriteľ alebo inak oprávnená osoba potvrdzujú prijaté plnenia.</w:t>
      </w:r>
      <w:r w:rsid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 xml:space="preserve"> </w:t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Organizácie používajú na vykonávanie pokladničnej služby záväzné potvrdenky. Ak sa nepoužijú tieto formuláre, musí mat individuálne štylizované potvrdenie tieto základné náležitosti.</w:t>
      </w:r>
    </w:p>
    <w:p w:rsidR="002779C0" w:rsidRDefault="00485E05" w:rsidP="002779C0">
      <w:p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Splnomocnenie</w:t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V určitých prípadoch dochádza k situáciám, keď pred podnikateľom, organizáciou alebo hociktorým občanom sa vynára potreba dať sa zastúpiť, to znamená konať nepriamo. V praxi sa stretávame s prípadmi, keď na strane zastúpeného ako aj na strane zástupcu vystupuje buď právnická, alebo fyzická osoba.</w:t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  <w:r w:rsidRPr="002779C0">
        <w:rPr>
          <w:rFonts w:ascii="Times New Roman" w:hAnsi="Times New Roman" w:cs="Times New Roman"/>
          <w:color w:val="010101"/>
          <w:sz w:val="24"/>
          <w:szCs w:val="24"/>
        </w:rPr>
        <w:br/>
      </w:r>
    </w:p>
    <w:p w:rsidR="002779C0" w:rsidRPr="002779C0" w:rsidRDefault="00485E05" w:rsidP="002779C0">
      <w:pPr>
        <w:spacing w:line="360" w:lineRule="auto"/>
        <w:jc w:val="both"/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  <w:lastRenderedPageBreak/>
        <w:t>Podľa rozsahu splnomocnenia:</w:t>
      </w:r>
    </w:p>
    <w:p w:rsidR="002779C0" w:rsidRPr="002779C0" w:rsidRDefault="002779C0" w:rsidP="002779C0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generálnu,</w:t>
      </w:r>
    </w:p>
    <w:p w:rsidR="002779C0" w:rsidRPr="002779C0" w:rsidRDefault="002779C0" w:rsidP="002779C0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špeciálnu,</w:t>
      </w:r>
    </w:p>
    <w:p w:rsidR="002779C0" w:rsidRPr="002779C0" w:rsidRDefault="002779C0" w:rsidP="002779C0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individuálnu.</w:t>
      </w:r>
    </w:p>
    <w:p w:rsidR="002779C0" w:rsidRPr="002779C0" w:rsidRDefault="00485E05" w:rsidP="002779C0">
      <w:pPr>
        <w:spacing w:line="360" w:lineRule="auto"/>
        <w:jc w:val="both"/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b/>
          <w:color w:val="010101"/>
          <w:sz w:val="24"/>
          <w:szCs w:val="24"/>
          <w:shd w:val="clear" w:color="auto" w:fill="FFFFFF"/>
        </w:rPr>
        <w:t>Plná moc zaniká:</w:t>
      </w:r>
    </w:p>
    <w:p w:rsidR="002779C0" w:rsidRPr="002779C0" w:rsidRDefault="00485E05" w:rsidP="002779C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uskutočnením úkonu,</w:t>
      </w:r>
    </w:p>
    <w:p w:rsidR="002779C0" w:rsidRDefault="00485E05" w:rsidP="002779C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vypovedaním plnej moci splnomocnencom alebo splnomocniteľom,</w:t>
      </w:r>
    </w:p>
    <w:p w:rsidR="002779C0" w:rsidRPr="002779C0" w:rsidRDefault="00485E05" w:rsidP="002779C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úmrtím splnomocnenca alebo splnomocniteľa.</w:t>
      </w:r>
    </w:p>
    <w:p w:rsidR="0099175A" w:rsidRDefault="00485E05" w:rsidP="002779C0">
      <w:pPr>
        <w:spacing w:line="360" w:lineRule="auto"/>
        <w:jc w:val="both"/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</w:pPr>
      <w:r w:rsidRPr="002779C0">
        <w:rPr>
          <w:rFonts w:ascii="Times New Roman" w:hAnsi="Times New Roman" w:cs="Times New Roman"/>
          <w:color w:val="010101"/>
          <w:sz w:val="24"/>
          <w:szCs w:val="24"/>
          <w:shd w:val="clear" w:color="auto" w:fill="FFFFFF"/>
        </w:rPr>
        <w:t>Splnomocnenie je zmocnenie vydané na určitý výkon alebo konanie. Možno ho udeliť písomne, alebo iným prejavom vôle.</w:t>
      </w:r>
    </w:p>
    <w:p w:rsidR="00231B10" w:rsidRPr="00231B10" w:rsidRDefault="00231B10" w:rsidP="002779C0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</w:pPr>
      <w:r w:rsidRPr="00231B10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Uznanie dlhu</w:t>
      </w:r>
    </w:p>
    <w:p w:rsidR="00231B10" w:rsidRPr="00231B10" w:rsidRDefault="00231B10" w:rsidP="00277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1B10">
        <w:rPr>
          <w:rFonts w:ascii="Times New Roman" w:hAnsi="Times New Roman" w:cs="Times New Roman"/>
          <w:sz w:val="24"/>
          <w:szCs w:val="24"/>
          <w:shd w:val="clear" w:color="auto" w:fill="FFFFFF"/>
        </w:rPr>
        <w:t>Uznanie dlhu je jednostranný právny úkon dlžníka adresovaný veriteľovi, ktorým dlžník písomne uzná, že zaplatí svoj dlh. Uznanie dlhu zabezpečuje záväzok dlžníka tým, že uľahčuje procesné postavenie veriteľa v prípade vymáhania pohľadávky súdnou cestou, čo znamená, že súd v prípade súdneho sporu bude predpokladať existenciu dlhu v čase jeho uznania.</w:t>
      </w:r>
    </w:p>
    <w:p w:rsidR="00231B10" w:rsidRPr="00231B10" w:rsidRDefault="00231B10" w:rsidP="00231B10">
      <w:pPr>
        <w:shd w:val="clear" w:color="auto" w:fill="FFFFFF"/>
        <w:spacing w:before="313" w:after="157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1B1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Náležitosti uznania dlhu</w:t>
      </w:r>
    </w:p>
    <w:p w:rsidR="00231B10" w:rsidRPr="00231B10" w:rsidRDefault="00231B10" w:rsidP="00231B10">
      <w:pPr>
        <w:shd w:val="clear" w:color="auto" w:fill="FFFFFF"/>
        <w:spacing w:after="157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1B10">
        <w:rPr>
          <w:rFonts w:ascii="Times New Roman" w:eastAsia="Times New Roman" w:hAnsi="Times New Roman" w:cs="Times New Roman"/>
          <w:sz w:val="24"/>
          <w:szCs w:val="24"/>
          <w:lang w:eastAsia="sk-SK"/>
        </w:rPr>
        <w:t>Uznanie dlhu musí mať </w:t>
      </w:r>
      <w:r w:rsidRPr="00231B1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písomnú formu</w:t>
      </w:r>
      <w:r w:rsidRPr="00231B10">
        <w:rPr>
          <w:rFonts w:ascii="Times New Roman" w:eastAsia="Times New Roman" w:hAnsi="Times New Roman" w:cs="Times New Roman"/>
          <w:sz w:val="24"/>
          <w:szCs w:val="24"/>
          <w:lang w:eastAsia="sk-SK"/>
        </w:rPr>
        <w:t>, a to aj v prípade, že záväzok nevznikol na základe písomného úkonu, musí byť z neho </w:t>
      </w:r>
      <w:r w:rsidRPr="00231B1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zrejmý dôvod vzniku pohľadávky</w:t>
      </w:r>
      <w:r w:rsidRPr="00231B10">
        <w:rPr>
          <w:rFonts w:ascii="Times New Roman" w:eastAsia="Times New Roman" w:hAnsi="Times New Roman" w:cs="Times New Roman"/>
          <w:sz w:val="24"/>
          <w:szCs w:val="24"/>
          <w:lang w:eastAsia="sk-SK"/>
        </w:rPr>
        <w:t>, musí v ňom byť </w:t>
      </w:r>
      <w:r w:rsidRPr="00231B1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presne určená výška pohľadávky</w:t>
      </w:r>
      <w:r w:rsidRPr="00231B10">
        <w:rPr>
          <w:rFonts w:ascii="Times New Roman" w:eastAsia="Times New Roman" w:hAnsi="Times New Roman" w:cs="Times New Roman"/>
          <w:sz w:val="24"/>
          <w:szCs w:val="24"/>
          <w:lang w:eastAsia="sk-SK"/>
        </w:rPr>
        <w:t> a musí obsahovať aj </w:t>
      </w:r>
      <w:r w:rsidRPr="00231B1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prísľub dlžníka tento dlh zaplatiť</w:t>
      </w:r>
      <w:r w:rsidRPr="00231B10">
        <w:rPr>
          <w:rFonts w:ascii="Times New Roman" w:eastAsia="Times New Roman" w:hAnsi="Times New Roman" w:cs="Times New Roman"/>
          <w:sz w:val="24"/>
          <w:szCs w:val="24"/>
          <w:lang w:eastAsia="sk-SK"/>
        </w:rPr>
        <w:t>. Neformálne uznanie dlhu (napríklad ústne uznanie alebo uznanie konkludentným úkonom, napríklad zaplatením splátky) nespôsobuje účinky uznania dlhu. To znamená, že aj v prípade, že dlžník uzná svoj záväzok ústne pred viacerými svedkami, ktorí by boli ochotní potvrdiť takéto uznanie dlhu na súde, nebude mať uznanie dlhu takýmto spôsobom účinky uznania dlhu podľa § 558 Občianskeho zákonníka.</w:t>
      </w:r>
    </w:p>
    <w:p w:rsidR="00231B10" w:rsidRPr="002779C0" w:rsidRDefault="00231B10" w:rsidP="00277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1B10" w:rsidRPr="002779C0" w:rsidSect="00485E0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707" w:rsidRDefault="00401707" w:rsidP="000B3521">
      <w:pPr>
        <w:spacing w:after="0" w:line="240" w:lineRule="auto"/>
      </w:pPr>
      <w:r>
        <w:separator/>
      </w:r>
    </w:p>
  </w:endnote>
  <w:endnote w:type="continuationSeparator" w:id="0">
    <w:p w:rsidR="00401707" w:rsidRDefault="0040170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707" w:rsidRDefault="00401707" w:rsidP="000B3521">
      <w:pPr>
        <w:spacing w:after="0" w:line="240" w:lineRule="auto"/>
      </w:pPr>
      <w:r>
        <w:separator/>
      </w:r>
    </w:p>
  </w:footnote>
  <w:footnote w:type="continuationSeparator" w:id="0">
    <w:p w:rsidR="00401707" w:rsidRDefault="0040170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11D8"/>
    <w:multiLevelType w:val="hybridMultilevel"/>
    <w:tmpl w:val="7C2407B8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776C0"/>
    <w:multiLevelType w:val="hybridMultilevel"/>
    <w:tmpl w:val="0038CE6A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86765FB"/>
    <w:multiLevelType w:val="hybridMultilevel"/>
    <w:tmpl w:val="168C81C2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1945AB"/>
    <w:rsid w:val="001F02D5"/>
    <w:rsid w:val="00211FDA"/>
    <w:rsid w:val="00231B10"/>
    <w:rsid w:val="0027458D"/>
    <w:rsid w:val="002779C0"/>
    <w:rsid w:val="003D44DB"/>
    <w:rsid w:val="003D7B0C"/>
    <w:rsid w:val="00401707"/>
    <w:rsid w:val="0047092A"/>
    <w:rsid w:val="00485E05"/>
    <w:rsid w:val="006465F3"/>
    <w:rsid w:val="0070217B"/>
    <w:rsid w:val="0072284E"/>
    <w:rsid w:val="007C26FC"/>
    <w:rsid w:val="008003F2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2">
    <w:name w:val="heading 2"/>
    <w:basedOn w:val="Normlny"/>
    <w:link w:val="Nadpis2Char"/>
    <w:uiPriority w:val="9"/>
    <w:qFormat/>
    <w:rsid w:val="0023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231B1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231B10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3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935E7-47B7-4C1E-B473-AB5D7439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2020-03-24T23:46:00Z</dcterms:created>
  <dcterms:modified xsi:type="dcterms:W3CDTF">2020-03-24T23:46:00Z</dcterms:modified>
</cp:coreProperties>
</file>