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9B4" w:rsidRDefault="0038605D" w:rsidP="001F02D5">
      <w:pPr>
        <w:pStyle w:val="Nzov"/>
        <w:jc w:val="both"/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-213995</wp:posOffset>
            </wp:positionH>
            <wp:positionV relativeFrom="margin">
              <wp:posOffset>711835</wp:posOffset>
            </wp:positionV>
            <wp:extent cx="1828165" cy="1212215"/>
            <wp:effectExtent l="19050" t="0" r="635" b="0"/>
            <wp:wrapSquare wrapText="bothSides"/>
            <wp:docPr id="5" name="Obrázok 4" descr="ochrana 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hrana lp.jpg"/>
                    <pic:cNvPicPr/>
                  </pic:nvPicPr>
                  <pic:blipFill>
                    <a:blip r:embed="rId8" cstate="print">
                      <a:lum bright="-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E5E">
        <w:t>Ochrana ľudských práv</w:t>
      </w:r>
      <w:r w:rsidR="00881E5E">
        <w:tab/>
      </w:r>
      <w:r w:rsidR="00881E5E">
        <w:tab/>
      </w:r>
      <w:r w:rsidR="00305310">
        <w:tab/>
      </w:r>
      <w:r w:rsidR="00467267">
        <w:tab/>
      </w:r>
      <w:r w:rsidR="00467267">
        <w:tab/>
      </w:r>
      <w:r w:rsidR="00881E5E">
        <w:tab/>
      </w:r>
      <w:r w:rsidR="00881E5E">
        <w:rPr>
          <w:sz w:val="36"/>
          <w:szCs w:val="36"/>
        </w:rPr>
        <w:t>1.EF</w:t>
      </w:r>
    </w:p>
    <w:p w:rsidR="00C216D6" w:rsidRDefault="00C216D6" w:rsidP="00C216D6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C216D6">
        <w:rPr>
          <w:rFonts w:ascii="Arial" w:eastAsia="Times New Roman" w:hAnsi="Arial" w:cs="Arial"/>
          <w:sz w:val="24"/>
          <w:szCs w:val="24"/>
          <w:lang w:eastAsia="sk-SK"/>
        </w:rPr>
        <w:t>ľ</w:t>
      </w:r>
      <w:r w:rsidR="00A43313" w:rsidRPr="00C216D6">
        <w:rPr>
          <w:rFonts w:ascii="Arial" w:eastAsia="Times New Roman" w:hAnsi="Arial" w:cs="Arial"/>
          <w:sz w:val="24"/>
          <w:szCs w:val="24"/>
          <w:lang w:eastAsia="sk-SK"/>
        </w:rPr>
        <w:t>udské práva sú nezrušiteľné a neodňateľné práva každého človeka</w:t>
      </w:r>
    </w:p>
    <w:p w:rsidR="00C216D6" w:rsidRDefault="00C216D6" w:rsidP="00C216D6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s</w:t>
      </w:r>
      <w:r w:rsidR="00A43313" w:rsidRPr="00C216D6">
        <w:rPr>
          <w:rFonts w:ascii="Arial" w:eastAsia="Times New Roman" w:hAnsi="Arial" w:cs="Arial"/>
          <w:sz w:val="24"/>
          <w:szCs w:val="24"/>
          <w:lang w:eastAsia="sk-SK"/>
        </w:rPr>
        <w:t>ú univerzálne, čo znamená, že patria každému, bez ohľadu na to kde sa nachádza, akej je národnosti, rasy či vierovyznania</w:t>
      </w:r>
    </w:p>
    <w:p w:rsidR="00C216D6" w:rsidRDefault="00C216D6" w:rsidP="00C216D6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t</w:t>
      </w:r>
      <w:r w:rsidR="00A43313" w:rsidRPr="00C216D6">
        <w:rPr>
          <w:rFonts w:ascii="Arial" w:eastAsia="Times New Roman" w:hAnsi="Arial" w:cs="Arial"/>
          <w:sz w:val="24"/>
          <w:szCs w:val="24"/>
          <w:lang w:eastAsia="sk-SK"/>
        </w:rPr>
        <w:t>ýkajú sa vzťahu medzi jednotlivcom a štátom, pričom jednotlivec vystupuje ako subjekt oprávnenia a štát ako subjekt povinnosti</w:t>
      </w:r>
    </w:p>
    <w:p w:rsidR="00A43313" w:rsidRPr="00C216D6" w:rsidRDefault="00C216D6" w:rsidP="00C216D6">
      <w:pPr>
        <w:pStyle w:val="Odsekzoznamu"/>
        <w:numPr>
          <w:ilvl w:val="0"/>
          <w:numId w:val="4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z</w:t>
      </w:r>
      <w:r w:rsidR="00A43313" w:rsidRPr="00C216D6">
        <w:rPr>
          <w:rFonts w:ascii="Arial" w:eastAsia="Times New Roman" w:hAnsi="Arial" w:cs="Arial"/>
          <w:sz w:val="24"/>
          <w:szCs w:val="24"/>
          <w:lang w:eastAsia="sk-SK"/>
        </w:rPr>
        <w:t>jednodušene by sa dalo povedať, že ľudské právo je:</w:t>
      </w:r>
    </w:p>
    <w:p w:rsidR="00A43313" w:rsidRPr="00A43313" w:rsidRDefault="00A43313" w:rsidP="00C216D6">
      <w:pPr>
        <w:numPr>
          <w:ilvl w:val="0"/>
          <w:numId w:val="38"/>
        </w:numPr>
        <w:tabs>
          <w:tab w:val="clear" w:pos="1707"/>
          <w:tab w:val="num" w:pos="1276"/>
        </w:tabs>
        <w:spacing w:after="0" w:line="360" w:lineRule="auto"/>
        <w:ind w:left="391" w:firstLine="602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43313">
        <w:rPr>
          <w:rFonts w:ascii="Arial" w:eastAsia="Times New Roman" w:hAnsi="Arial" w:cs="Arial"/>
          <w:sz w:val="24"/>
          <w:szCs w:val="24"/>
          <w:lang w:eastAsia="sk-SK"/>
        </w:rPr>
        <w:t>POVINNOSŤ ŠTÁTU rešpektovať / chrániť / plniť právo jednotlivca, a zároveň</w:t>
      </w:r>
    </w:p>
    <w:p w:rsidR="00C216D6" w:rsidRDefault="00A43313" w:rsidP="00C216D6">
      <w:pPr>
        <w:numPr>
          <w:ilvl w:val="0"/>
          <w:numId w:val="38"/>
        </w:numPr>
        <w:tabs>
          <w:tab w:val="clear" w:pos="1707"/>
          <w:tab w:val="num" w:pos="1276"/>
        </w:tabs>
        <w:spacing w:after="0" w:line="360" w:lineRule="auto"/>
        <w:ind w:left="391" w:firstLine="602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43313">
        <w:rPr>
          <w:rFonts w:ascii="Arial" w:eastAsia="Times New Roman" w:hAnsi="Arial" w:cs="Arial"/>
          <w:sz w:val="24"/>
          <w:szCs w:val="24"/>
          <w:lang w:eastAsia="sk-SK"/>
        </w:rPr>
        <w:t>PRÁVO JEDNOTLIVCA vyžadovať, aby štát rešpektoval / chránil / plnil jeho</w:t>
      </w:r>
    </w:p>
    <w:p w:rsidR="00A43313" w:rsidRPr="00A43313" w:rsidRDefault="00C216D6" w:rsidP="00C216D6">
      <w:pPr>
        <w:tabs>
          <w:tab w:val="left" w:pos="1276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A43313" w:rsidRPr="00A43313">
        <w:rPr>
          <w:rFonts w:ascii="Arial" w:eastAsia="Times New Roman" w:hAnsi="Arial" w:cs="Arial"/>
          <w:sz w:val="24"/>
          <w:szCs w:val="24"/>
          <w:lang w:eastAsia="sk-SK"/>
        </w:rPr>
        <w:t>právo</w:t>
      </w:r>
    </w:p>
    <w:p w:rsidR="00A43313" w:rsidRPr="00C216D6" w:rsidRDefault="00C216D6" w:rsidP="00C216D6">
      <w:pPr>
        <w:pStyle w:val="Odsekzoznamu"/>
        <w:numPr>
          <w:ilvl w:val="0"/>
          <w:numId w:val="43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ľ</w:t>
      </w:r>
      <w:r w:rsidR="00A43313" w:rsidRPr="00C216D6">
        <w:rPr>
          <w:rFonts w:ascii="Arial" w:eastAsia="Times New Roman" w:hAnsi="Arial" w:cs="Arial"/>
          <w:sz w:val="24"/>
          <w:szCs w:val="24"/>
          <w:lang w:eastAsia="sk-SK"/>
        </w:rPr>
        <w:t>udské práva sú zhromaždené v medzinárodnými dokumentoch, ktoré môžu mať charakter:</w:t>
      </w:r>
    </w:p>
    <w:p w:rsidR="00A43313" w:rsidRPr="00A43313" w:rsidRDefault="00A43313" w:rsidP="00C216D6">
      <w:pPr>
        <w:numPr>
          <w:ilvl w:val="0"/>
          <w:numId w:val="39"/>
        </w:numPr>
        <w:spacing w:after="0" w:line="360" w:lineRule="auto"/>
        <w:ind w:left="391" w:firstLine="602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43313">
        <w:rPr>
          <w:rFonts w:ascii="Arial" w:eastAsia="Times New Roman" w:hAnsi="Arial" w:cs="Arial"/>
          <w:sz w:val="24"/>
          <w:szCs w:val="24"/>
          <w:lang w:eastAsia="sk-SK"/>
        </w:rPr>
        <w:t>Medzinárodnej zmluvy – sú záväzné pre štáty, ktoré ich ratifikujú;</w:t>
      </w:r>
    </w:p>
    <w:p w:rsidR="00C216D6" w:rsidRDefault="00A43313" w:rsidP="00C216D6">
      <w:pPr>
        <w:numPr>
          <w:ilvl w:val="0"/>
          <w:numId w:val="39"/>
        </w:numPr>
        <w:spacing w:after="0" w:line="360" w:lineRule="auto"/>
        <w:ind w:left="391" w:firstLine="602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43313">
        <w:rPr>
          <w:rFonts w:ascii="Arial" w:eastAsia="Times New Roman" w:hAnsi="Arial" w:cs="Arial"/>
          <w:sz w:val="24"/>
          <w:szCs w:val="24"/>
          <w:lang w:eastAsia="sk-SK"/>
        </w:rPr>
        <w:t>Deklarácie – nezáväzné, resp. nevynútiteľné dokumenty, niektoré z nich však</w:t>
      </w:r>
    </w:p>
    <w:p w:rsidR="009F2420" w:rsidRDefault="00A43313" w:rsidP="009F2420">
      <w:pPr>
        <w:spacing w:after="0" w:line="360" w:lineRule="auto"/>
        <w:ind w:left="993" w:firstLine="423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43313">
        <w:rPr>
          <w:rFonts w:ascii="Arial" w:eastAsia="Times New Roman" w:hAnsi="Arial" w:cs="Arial"/>
          <w:sz w:val="24"/>
          <w:szCs w:val="24"/>
          <w:lang w:eastAsia="sk-SK"/>
        </w:rPr>
        <w:t>majú napriek tomu veľký vplyv.</w:t>
      </w:r>
    </w:p>
    <w:p w:rsidR="00A43313" w:rsidRDefault="0038605D" w:rsidP="009F2420">
      <w:pPr>
        <w:pStyle w:val="Nadpis1"/>
        <w:rPr>
          <w:rFonts w:eastAsia="Times New Roman"/>
          <w:lang w:eastAsia="sk-SK"/>
        </w:rPr>
      </w:pPr>
      <w:r>
        <w:rPr>
          <w:rFonts w:eastAsia="Times New Roman"/>
          <w:noProof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4607560</wp:posOffset>
            </wp:positionH>
            <wp:positionV relativeFrom="margin">
              <wp:posOffset>4657725</wp:posOffset>
            </wp:positionV>
            <wp:extent cx="1866265" cy="1062990"/>
            <wp:effectExtent l="19050" t="0" r="635" b="0"/>
            <wp:wrapSquare wrapText="bothSides"/>
            <wp:docPr id="4" name="Obrázok 3" descr="os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313" w:rsidRPr="00A43313">
        <w:rPr>
          <w:rFonts w:eastAsia="Times New Roman"/>
          <w:lang w:eastAsia="sk-SK"/>
        </w:rPr>
        <w:t>Univerzálny systém ochrany ľudských práv</w:t>
      </w:r>
    </w:p>
    <w:p w:rsidR="009F2420" w:rsidRPr="009F2420" w:rsidRDefault="009F2420" w:rsidP="009F2420">
      <w:pPr>
        <w:rPr>
          <w:lang w:eastAsia="sk-SK"/>
        </w:rPr>
      </w:pPr>
    </w:p>
    <w:p w:rsidR="00C216D6" w:rsidRDefault="00C216D6" w:rsidP="00C216D6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ľ</w:t>
      </w:r>
      <w:r w:rsidR="00A43313" w:rsidRPr="00C216D6">
        <w:rPr>
          <w:rFonts w:ascii="Arial" w:eastAsia="Times New Roman" w:hAnsi="Arial" w:cs="Arial"/>
          <w:sz w:val="24"/>
          <w:szCs w:val="24"/>
          <w:lang w:eastAsia="sk-SK"/>
        </w:rPr>
        <w:t xml:space="preserve">udské práva 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dnešnej podoby </w:t>
      </w:r>
      <w:r w:rsidR="00A43313" w:rsidRPr="00C216D6">
        <w:rPr>
          <w:rFonts w:ascii="Arial" w:eastAsia="Times New Roman" w:hAnsi="Arial" w:cs="Arial"/>
          <w:sz w:val="24"/>
          <w:szCs w:val="24"/>
          <w:lang w:eastAsia="sk-SK"/>
        </w:rPr>
        <w:t>sa začali rozvíjať po skončení druhej svetovej vojny</w:t>
      </w:r>
    </w:p>
    <w:p w:rsidR="003F0727" w:rsidRDefault="00C216D6" w:rsidP="00C216D6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v</w:t>
      </w:r>
      <w:r w:rsidR="00A43313" w:rsidRPr="00C216D6">
        <w:rPr>
          <w:rFonts w:ascii="Arial" w:eastAsia="Times New Roman" w:hAnsi="Arial" w:cs="Arial"/>
          <w:sz w:val="24"/>
          <w:szCs w:val="24"/>
          <w:lang w:eastAsia="sk-SK"/>
        </w:rPr>
        <w:t xml:space="preserve"> roku 1945 bola založená Organizácia spojených národov (OSN)</w:t>
      </w:r>
      <w:r w:rsidR="003F0727">
        <w:rPr>
          <w:rFonts w:ascii="Arial" w:eastAsia="Times New Roman" w:hAnsi="Arial" w:cs="Arial"/>
          <w:sz w:val="24"/>
          <w:szCs w:val="24"/>
          <w:lang w:eastAsia="sk-SK"/>
        </w:rPr>
        <w:t xml:space="preserve"> -</w:t>
      </w:r>
      <w:r w:rsidR="00A43313" w:rsidRPr="00C216D6">
        <w:rPr>
          <w:rFonts w:ascii="Arial" w:eastAsia="Times New Roman" w:hAnsi="Arial" w:cs="Arial"/>
          <w:sz w:val="24"/>
          <w:szCs w:val="24"/>
          <w:lang w:eastAsia="sk-SK"/>
        </w:rPr>
        <w:t xml:space="preserve"> základnou úlohou bolo a stále je starať sa o udržiavanie a ochranu ľudských práv a mieru vo svete </w:t>
      </w:r>
    </w:p>
    <w:p w:rsidR="00A43313" w:rsidRDefault="003F0727" w:rsidP="00C216D6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p</w:t>
      </w:r>
      <w:r w:rsidR="00A43313" w:rsidRPr="00C216D6">
        <w:rPr>
          <w:rFonts w:ascii="Arial" w:eastAsia="Times New Roman" w:hAnsi="Arial" w:cs="Arial"/>
          <w:sz w:val="24"/>
          <w:szCs w:val="24"/>
          <w:lang w:eastAsia="sk-SK"/>
        </w:rPr>
        <w:t xml:space="preserve">od záštitou </w:t>
      </w:r>
      <w:r>
        <w:rPr>
          <w:rFonts w:ascii="Arial" w:eastAsia="Times New Roman" w:hAnsi="Arial" w:cs="Arial"/>
          <w:sz w:val="24"/>
          <w:szCs w:val="24"/>
          <w:lang w:eastAsia="sk-SK"/>
        </w:rPr>
        <w:t>OSN</w:t>
      </w:r>
      <w:r w:rsidR="00A43313" w:rsidRPr="00C216D6">
        <w:rPr>
          <w:rFonts w:ascii="Arial" w:eastAsia="Times New Roman" w:hAnsi="Arial" w:cs="Arial"/>
          <w:sz w:val="24"/>
          <w:szCs w:val="24"/>
          <w:lang w:eastAsia="sk-SK"/>
        </w:rPr>
        <w:t xml:space="preserve"> vzniklo množst</w:t>
      </w:r>
      <w:r>
        <w:rPr>
          <w:rFonts w:ascii="Arial" w:eastAsia="Times New Roman" w:hAnsi="Arial" w:cs="Arial"/>
          <w:sz w:val="24"/>
          <w:szCs w:val="24"/>
          <w:lang w:eastAsia="sk-SK"/>
        </w:rPr>
        <w:t>vo ľudsko-právnych inštrumentov</w:t>
      </w:r>
    </w:p>
    <w:p w:rsidR="003F0727" w:rsidRDefault="003F0727" w:rsidP="00C216D6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v </w:t>
      </w:r>
      <w:r w:rsidRPr="00A43313">
        <w:rPr>
          <w:rFonts w:ascii="Arial" w:eastAsia="Times New Roman" w:hAnsi="Arial" w:cs="Arial"/>
          <w:sz w:val="24"/>
          <w:szCs w:val="24"/>
          <w:lang w:eastAsia="sk-SK"/>
        </w:rPr>
        <w:t>roku 1948</w:t>
      </w:r>
      <w:r w:rsidRPr="003F072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A43313">
        <w:rPr>
          <w:rFonts w:ascii="Arial" w:eastAsia="Times New Roman" w:hAnsi="Arial" w:cs="Arial"/>
          <w:sz w:val="24"/>
          <w:szCs w:val="24"/>
          <w:lang w:eastAsia="sk-SK"/>
        </w:rPr>
        <w:t>bola</w:t>
      </w:r>
      <w:r w:rsidRPr="003F072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prijatá </w:t>
      </w:r>
      <w:r w:rsidRPr="00A43313">
        <w:rPr>
          <w:rFonts w:ascii="Arial" w:eastAsia="Times New Roman" w:hAnsi="Arial" w:cs="Arial"/>
          <w:b/>
          <w:sz w:val="24"/>
          <w:szCs w:val="24"/>
          <w:lang w:eastAsia="sk-SK"/>
        </w:rPr>
        <w:t>Všeobecná deklarácia ľudských práv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A43313">
        <w:rPr>
          <w:rFonts w:ascii="Arial" w:eastAsia="Times New Roman" w:hAnsi="Arial" w:cs="Arial"/>
          <w:sz w:val="24"/>
          <w:szCs w:val="24"/>
          <w:lang w:eastAsia="sk-SK"/>
        </w:rPr>
        <w:t>(</w:t>
      </w:r>
      <w:proofErr w:type="spellStart"/>
      <w:r w:rsidRPr="00A43313">
        <w:rPr>
          <w:rFonts w:ascii="Arial" w:eastAsia="Times New Roman" w:hAnsi="Arial" w:cs="Arial"/>
          <w:sz w:val="24"/>
          <w:szCs w:val="24"/>
          <w:lang w:eastAsia="sk-SK"/>
        </w:rPr>
        <w:t>Universal</w:t>
      </w:r>
      <w:proofErr w:type="spellEnd"/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A43313">
        <w:rPr>
          <w:rFonts w:ascii="Arial" w:eastAsia="Times New Roman" w:hAnsi="Arial" w:cs="Arial"/>
          <w:sz w:val="24"/>
          <w:szCs w:val="24"/>
          <w:lang w:eastAsia="sk-SK"/>
        </w:rPr>
        <w:t>Declaration</w:t>
      </w:r>
      <w:proofErr w:type="spellEnd"/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A43313">
        <w:rPr>
          <w:rFonts w:ascii="Arial" w:eastAsia="Times New Roman" w:hAnsi="Arial" w:cs="Arial"/>
          <w:sz w:val="24"/>
          <w:szCs w:val="24"/>
          <w:lang w:eastAsia="sk-SK"/>
        </w:rPr>
        <w:t>of</w:t>
      </w:r>
      <w:proofErr w:type="spellEnd"/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A43313">
        <w:rPr>
          <w:rFonts w:ascii="Arial" w:eastAsia="Times New Roman" w:hAnsi="Arial" w:cs="Arial"/>
          <w:sz w:val="24"/>
          <w:szCs w:val="24"/>
          <w:lang w:eastAsia="sk-SK"/>
        </w:rPr>
        <w:t>Human</w:t>
      </w:r>
      <w:proofErr w:type="spellEnd"/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A43313">
        <w:rPr>
          <w:rFonts w:ascii="Arial" w:eastAsia="Times New Roman" w:hAnsi="Arial" w:cs="Arial"/>
          <w:sz w:val="24"/>
          <w:szCs w:val="24"/>
          <w:lang w:eastAsia="sk-SK"/>
        </w:rPr>
        <w:t>Rights</w:t>
      </w:r>
      <w:proofErr w:type="spellEnd"/>
      <w:r w:rsidRPr="00A43313">
        <w:rPr>
          <w:rFonts w:ascii="Arial" w:eastAsia="Times New Roman" w:hAnsi="Arial" w:cs="Arial"/>
          <w:sz w:val="24"/>
          <w:szCs w:val="24"/>
          <w:lang w:eastAsia="sk-SK"/>
        </w:rPr>
        <w:t>)</w:t>
      </w:r>
    </w:p>
    <w:p w:rsidR="003F0727" w:rsidRPr="00C216D6" w:rsidRDefault="003F0727" w:rsidP="00C216D6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keďže ide o deklaráciu, znamená to </w:t>
      </w:r>
      <w:r w:rsidRPr="00A43313">
        <w:rPr>
          <w:rFonts w:ascii="Arial" w:eastAsia="Times New Roman" w:hAnsi="Arial" w:cs="Arial"/>
          <w:sz w:val="24"/>
          <w:szCs w:val="24"/>
          <w:lang w:eastAsia="sk-SK"/>
        </w:rPr>
        <w:t>že nie je právne záväzná.</w:t>
      </w:r>
    </w:p>
    <w:p w:rsidR="00A43313" w:rsidRPr="003F0727" w:rsidRDefault="00A43313" w:rsidP="003F0727">
      <w:pPr>
        <w:pStyle w:val="Odsekzoznamu"/>
        <w:numPr>
          <w:ilvl w:val="0"/>
          <w:numId w:val="4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F0727">
        <w:rPr>
          <w:rFonts w:ascii="Arial" w:eastAsia="Times New Roman" w:hAnsi="Arial" w:cs="Arial"/>
          <w:sz w:val="24"/>
          <w:szCs w:val="24"/>
          <w:lang w:eastAsia="sk-SK"/>
        </w:rPr>
        <w:t>v roku 1966 prijaté medzinárodne zmluvy dve, a síce:</w:t>
      </w:r>
    </w:p>
    <w:p w:rsidR="00A43313" w:rsidRPr="00A43313" w:rsidRDefault="00A43313" w:rsidP="00881E5E">
      <w:pPr>
        <w:numPr>
          <w:ilvl w:val="0"/>
          <w:numId w:val="40"/>
        </w:numPr>
        <w:spacing w:after="0" w:line="360" w:lineRule="auto"/>
        <w:ind w:left="313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43313">
        <w:rPr>
          <w:rFonts w:ascii="Arial" w:eastAsia="Times New Roman" w:hAnsi="Arial" w:cs="Arial"/>
          <w:b/>
          <w:sz w:val="24"/>
          <w:szCs w:val="24"/>
          <w:lang w:eastAsia="sk-SK"/>
        </w:rPr>
        <w:t>Medzinárodný pakt o občianskych a politických právach</w:t>
      </w:r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 (</w:t>
      </w:r>
      <w:proofErr w:type="spellStart"/>
      <w:r w:rsidRPr="00A43313">
        <w:rPr>
          <w:rFonts w:ascii="Arial" w:eastAsia="Times New Roman" w:hAnsi="Arial" w:cs="Arial"/>
          <w:sz w:val="24"/>
          <w:szCs w:val="24"/>
          <w:lang w:eastAsia="sk-SK"/>
        </w:rPr>
        <w:t>International</w:t>
      </w:r>
      <w:proofErr w:type="spellEnd"/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A43313">
        <w:rPr>
          <w:rFonts w:ascii="Arial" w:eastAsia="Times New Roman" w:hAnsi="Arial" w:cs="Arial"/>
          <w:sz w:val="24"/>
          <w:szCs w:val="24"/>
          <w:lang w:eastAsia="sk-SK"/>
        </w:rPr>
        <w:t>Covenant</w:t>
      </w:r>
      <w:proofErr w:type="spellEnd"/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 on Civil and </w:t>
      </w:r>
      <w:proofErr w:type="spellStart"/>
      <w:r w:rsidRPr="00A43313">
        <w:rPr>
          <w:rFonts w:ascii="Arial" w:eastAsia="Times New Roman" w:hAnsi="Arial" w:cs="Arial"/>
          <w:sz w:val="24"/>
          <w:szCs w:val="24"/>
          <w:lang w:eastAsia="sk-SK"/>
        </w:rPr>
        <w:t>Political</w:t>
      </w:r>
      <w:proofErr w:type="spellEnd"/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A43313">
        <w:rPr>
          <w:rFonts w:ascii="Arial" w:eastAsia="Times New Roman" w:hAnsi="Arial" w:cs="Arial"/>
          <w:sz w:val="24"/>
          <w:szCs w:val="24"/>
          <w:lang w:eastAsia="sk-SK"/>
        </w:rPr>
        <w:t>Rights</w:t>
      </w:r>
      <w:proofErr w:type="spellEnd"/>
      <w:r w:rsidRPr="00A43313">
        <w:rPr>
          <w:rFonts w:ascii="Arial" w:eastAsia="Times New Roman" w:hAnsi="Arial" w:cs="Arial"/>
          <w:sz w:val="24"/>
          <w:szCs w:val="24"/>
          <w:lang w:eastAsia="sk-SK"/>
        </w:rPr>
        <w:t>, ICCPR) a</w:t>
      </w:r>
    </w:p>
    <w:p w:rsidR="00A43313" w:rsidRDefault="00A43313" w:rsidP="00881E5E">
      <w:pPr>
        <w:numPr>
          <w:ilvl w:val="0"/>
          <w:numId w:val="40"/>
        </w:numPr>
        <w:spacing w:after="0" w:line="360" w:lineRule="auto"/>
        <w:ind w:left="313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43313">
        <w:rPr>
          <w:rFonts w:ascii="Arial" w:eastAsia="Times New Roman" w:hAnsi="Arial" w:cs="Arial"/>
          <w:b/>
          <w:sz w:val="24"/>
          <w:szCs w:val="24"/>
          <w:lang w:eastAsia="sk-SK"/>
        </w:rPr>
        <w:t>Medzinárodný pakt o hospodárskych, sociálnych a kultúrnych právach</w:t>
      </w:r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 (</w:t>
      </w:r>
      <w:proofErr w:type="spellStart"/>
      <w:r w:rsidRPr="00A43313">
        <w:rPr>
          <w:rFonts w:ascii="Arial" w:eastAsia="Times New Roman" w:hAnsi="Arial" w:cs="Arial"/>
          <w:sz w:val="24"/>
          <w:szCs w:val="24"/>
          <w:lang w:eastAsia="sk-SK"/>
        </w:rPr>
        <w:t>International</w:t>
      </w:r>
      <w:proofErr w:type="spellEnd"/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A43313">
        <w:rPr>
          <w:rFonts w:ascii="Arial" w:eastAsia="Times New Roman" w:hAnsi="Arial" w:cs="Arial"/>
          <w:sz w:val="24"/>
          <w:szCs w:val="24"/>
          <w:lang w:eastAsia="sk-SK"/>
        </w:rPr>
        <w:t>Covenant</w:t>
      </w:r>
      <w:proofErr w:type="spellEnd"/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 on </w:t>
      </w:r>
      <w:proofErr w:type="spellStart"/>
      <w:r w:rsidRPr="00A43313">
        <w:rPr>
          <w:rFonts w:ascii="Arial" w:eastAsia="Times New Roman" w:hAnsi="Arial" w:cs="Arial"/>
          <w:sz w:val="24"/>
          <w:szCs w:val="24"/>
          <w:lang w:eastAsia="sk-SK"/>
        </w:rPr>
        <w:t>Economic</w:t>
      </w:r>
      <w:proofErr w:type="spellEnd"/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A43313">
        <w:rPr>
          <w:rFonts w:ascii="Arial" w:eastAsia="Times New Roman" w:hAnsi="Arial" w:cs="Arial"/>
          <w:sz w:val="24"/>
          <w:szCs w:val="24"/>
          <w:lang w:eastAsia="sk-SK"/>
        </w:rPr>
        <w:t>Social</w:t>
      </w:r>
      <w:proofErr w:type="spellEnd"/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 and </w:t>
      </w:r>
      <w:proofErr w:type="spellStart"/>
      <w:r w:rsidRPr="00A43313">
        <w:rPr>
          <w:rFonts w:ascii="Arial" w:eastAsia="Times New Roman" w:hAnsi="Arial" w:cs="Arial"/>
          <w:sz w:val="24"/>
          <w:szCs w:val="24"/>
          <w:lang w:eastAsia="sk-SK"/>
        </w:rPr>
        <w:t>Cultural</w:t>
      </w:r>
      <w:proofErr w:type="spellEnd"/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A43313">
        <w:rPr>
          <w:rFonts w:ascii="Arial" w:eastAsia="Times New Roman" w:hAnsi="Arial" w:cs="Arial"/>
          <w:sz w:val="24"/>
          <w:szCs w:val="24"/>
          <w:lang w:eastAsia="sk-SK"/>
        </w:rPr>
        <w:t>Rights</w:t>
      </w:r>
      <w:proofErr w:type="spellEnd"/>
      <w:r w:rsidRPr="00A43313">
        <w:rPr>
          <w:rFonts w:ascii="Arial" w:eastAsia="Times New Roman" w:hAnsi="Arial" w:cs="Arial"/>
          <w:sz w:val="24"/>
          <w:szCs w:val="24"/>
          <w:lang w:eastAsia="sk-SK"/>
        </w:rPr>
        <w:t>, ICESCR)</w:t>
      </w:r>
    </w:p>
    <w:p w:rsidR="00A43313" w:rsidRPr="003F0727" w:rsidRDefault="003F0727" w:rsidP="003F0727">
      <w:pPr>
        <w:pStyle w:val="Odsekzoznamu"/>
        <w:numPr>
          <w:ilvl w:val="0"/>
          <w:numId w:val="4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o</w:t>
      </w:r>
      <w:r w:rsidR="00A43313" w:rsidRPr="003F0727">
        <w:rPr>
          <w:rFonts w:ascii="Arial" w:eastAsia="Times New Roman" w:hAnsi="Arial" w:cs="Arial"/>
          <w:sz w:val="24"/>
          <w:szCs w:val="24"/>
          <w:lang w:eastAsia="sk-SK"/>
        </w:rPr>
        <w:t>bidva pakty boli ratifikované veľkým počtom štátov, vrátane Slovenska.</w:t>
      </w:r>
    </w:p>
    <w:p w:rsidR="003F0727" w:rsidRDefault="003F0727" w:rsidP="003F0727">
      <w:pPr>
        <w:pStyle w:val="Odsekzoznamu"/>
        <w:numPr>
          <w:ilvl w:val="0"/>
          <w:numId w:val="4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lastRenderedPageBreak/>
        <w:t>d</w:t>
      </w:r>
      <w:r w:rsidR="00A43313" w:rsidRPr="003F0727">
        <w:rPr>
          <w:rFonts w:ascii="Arial" w:eastAsia="Times New Roman" w:hAnsi="Arial" w:cs="Arial"/>
          <w:sz w:val="24"/>
          <w:szCs w:val="24"/>
          <w:lang w:eastAsia="sk-SK"/>
        </w:rPr>
        <w:t>o tejto skupiny patrí právo na život, slobodu prejavu, slobodu vierovyznania, sebaurčenie, právo na slobodu združovania a zhromažďovania, súkromie, politic</w:t>
      </w:r>
      <w:r>
        <w:rPr>
          <w:rFonts w:ascii="Arial" w:eastAsia="Times New Roman" w:hAnsi="Arial" w:cs="Arial"/>
          <w:sz w:val="24"/>
          <w:szCs w:val="24"/>
          <w:lang w:eastAsia="sk-SK"/>
        </w:rPr>
        <w:t>kú participáciu a mnoho ďalších</w:t>
      </w:r>
      <w:r w:rsidR="00A43313" w:rsidRPr="003F072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</w:p>
    <w:p w:rsidR="00A43313" w:rsidRPr="003F0727" w:rsidRDefault="003F0727" w:rsidP="003F0727">
      <w:pPr>
        <w:pStyle w:val="Odsekzoznamu"/>
        <w:numPr>
          <w:ilvl w:val="0"/>
          <w:numId w:val="4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p</w:t>
      </w:r>
      <w:r w:rsidR="00A43313" w:rsidRPr="003F0727">
        <w:rPr>
          <w:rFonts w:ascii="Arial" w:eastAsia="Times New Roman" w:hAnsi="Arial" w:cs="Arial"/>
          <w:sz w:val="24"/>
          <w:szCs w:val="24"/>
          <w:lang w:eastAsia="sk-SK"/>
        </w:rPr>
        <w:t xml:space="preserve">akt ustanovuje zriadenie </w:t>
      </w:r>
      <w:r w:rsidR="00A43313" w:rsidRPr="003F0727">
        <w:rPr>
          <w:rFonts w:ascii="Arial" w:eastAsia="Times New Roman" w:hAnsi="Arial" w:cs="Arial"/>
          <w:b/>
          <w:sz w:val="24"/>
          <w:szCs w:val="24"/>
          <w:lang w:eastAsia="sk-SK"/>
        </w:rPr>
        <w:t>Výboru pre ľudské práva</w:t>
      </w:r>
      <w:r w:rsidR="00A43313" w:rsidRPr="003F0727">
        <w:rPr>
          <w:rFonts w:ascii="Arial" w:eastAsia="Times New Roman" w:hAnsi="Arial" w:cs="Arial"/>
          <w:sz w:val="24"/>
          <w:szCs w:val="24"/>
          <w:lang w:eastAsia="sk-SK"/>
        </w:rPr>
        <w:t xml:space="preserve"> (</w:t>
      </w:r>
      <w:proofErr w:type="spellStart"/>
      <w:r w:rsidR="00A43313" w:rsidRPr="003F0727">
        <w:rPr>
          <w:rFonts w:ascii="Arial" w:eastAsia="Times New Roman" w:hAnsi="Arial" w:cs="Arial"/>
          <w:sz w:val="24"/>
          <w:szCs w:val="24"/>
          <w:lang w:eastAsia="sk-SK"/>
        </w:rPr>
        <w:t>Human</w:t>
      </w:r>
      <w:proofErr w:type="spellEnd"/>
      <w:r w:rsidR="00A43313" w:rsidRPr="003F072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A43313" w:rsidRPr="003F0727">
        <w:rPr>
          <w:rFonts w:ascii="Arial" w:eastAsia="Times New Roman" w:hAnsi="Arial" w:cs="Arial"/>
          <w:sz w:val="24"/>
          <w:szCs w:val="24"/>
          <w:lang w:eastAsia="sk-SK"/>
        </w:rPr>
        <w:t>Rights</w:t>
      </w:r>
      <w:proofErr w:type="spellEnd"/>
      <w:r w:rsidR="00A43313" w:rsidRPr="003F0727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="00A43313" w:rsidRPr="003F0727">
        <w:rPr>
          <w:rFonts w:ascii="Arial" w:eastAsia="Times New Roman" w:hAnsi="Arial" w:cs="Arial"/>
          <w:sz w:val="24"/>
          <w:szCs w:val="24"/>
          <w:lang w:eastAsia="sk-SK"/>
        </w:rPr>
        <w:t>Committee</w:t>
      </w:r>
      <w:proofErr w:type="spellEnd"/>
      <w:r w:rsidR="00A43313" w:rsidRPr="003F0727">
        <w:rPr>
          <w:rFonts w:ascii="Arial" w:eastAsia="Times New Roman" w:hAnsi="Arial" w:cs="Arial"/>
          <w:sz w:val="24"/>
          <w:szCs w:val="24"/>
          <w:lang w:eastAsia="sk-SK"/>
        </w:rPr>
        <w:t>), ktorého úlohou je monitorovať dodržiavanie paktu členskými štátmi, prešetrovať medzištátne sťažnosti a čo je najdôležitejšie, výbor je kompetentný prijímať a riešiť aj individuálne sťažnosti – sťažnosti podané jednotlivcami proti štátu v prípade, že sa domnievajú, že ich práva vyplývajúce z paktu boli kon</w:t>
      </w:r>
      <w:r>
        <w:rPr>
          <w:rFonts w:ascii="Arial" w:eastAsia="Times New Roman" w:hAnsi="Arial" w:cs="Arial"/>
          <w:sz w:val="24"/>
          <w:szCs w:val="24"/>
          <w:lang w:eastAsia="sk-SK"/>
        </w:rPr>
        <w:t>aním tohto štátu porušené</w:t>
      </w:r>
    </w:p>
    <w:p w:rsidR="00A43313" w:rsidRPr="003F0727" w:rsidRDefault="003F0727" w:rsidP="003F0727">
      <w:pPr>
        <w:pStyle w:val="Odsekzoznamu"/>
        <w:numPr>
          <w:ilvl w:val="0"/>
          <w:numId w:val="4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F0727">
        <w:rPr>
          <w:rFonts w:ascii="Arial" w:eastAsia="Times New Roman" w:hAnsi="Arial" w:cs="Arial"/>
          <w:sz w:val="24"/>
          <w:szCs w:val="24"/>
          <w:lang w:eastAsia="sk-SK"/>
        </w:rPr>
        <w:t>ď</w:t>
      </w:r>
      <w:r w:rsidR="00A43313" w:rsidRPr="003F0727">
        <w:rPr>
          <w:rFonts w:ascii="Arial" w:eastAsia="Times New Roman" w:hAnsi="Arial" w:cs="Arial"/>
          <w:sz w:val="24"/>
          <w:szCs w:val="24"/>
          <w:lang w:eastAsia="sk-SK"/>
        </w:rPr>
        <w:t>alšími dokumentmi v oblasti ľudských práv prijatými na pôde OSN sú špecializované dohovory, určené na ochranu určitých skupín ľudí</w:t>
      </w:r>
    </w:p>
    <w:p w:rsidR="00A43313" w:rsidRPr="00A43313" w:rsidRDefault="00A43313" w:rsidP="00881E5E">
      <w:pPr>
        <w:numPr>
          <w:ilvl w:val="0"/>
          <w:numId w:val="41"/>
        </w:numPr>
        <w:spacing w:after="0" w:line="360" w:lineRule="auto"/>
        <w:ind w:left="313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Medzinárodný dohovor o odstránení všetkých foriem rasovej diskriminácie (ICERD) - </w:t>
      </w:r>
      <w:r w:rsidRPr="00A43313">
        <w:rPr>
          <w:rFonts w:ascii="Arial" w:eastAsia="Times New Roman" w:hAnsi="Arial" w:cs="Arial"/>
          <w:b/>
          <w:sz w:val="24"/>
          <w:szCs w:val="24"/>
          <w:lang w:eastAsia="sk-SK"/>
        </w:rPr>
        <w:t>Výbor pre odstránenie rasovej diskriminácie</w:t>
      </w:r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 (CERD)</w:t>
      </w:r>
    </w:p>
    <w:p w:rsidR="00A43313" w:rsidRPr="00A43313" w:rsidRDefault="00A43313" w:rsidP="00881E5E">
      <w:pPr>
        <w:numPr>
          <w:ilvl w:val="0"/>
          <w:numId w:val="41"/>
        </w:numPr>
        <w:spacing w:after="0" w:line="360" w:lineRule="auto"/>
        <w:ind w:left="313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Dohovor proti mučeniu a inému krutému, neľudskému a ponižujúcemu zaobchádzaniu či trestaniu - </w:t>
      </w:r>
      <w:r w:rsidRPr="00A43313">
        <w:rPr>
          <w:rFonts w:ascii="Arial" w:eastAsia="Times New Roman" w:hAnsi="Arial" w:cs="Arial"/>
          <w:b/>
          <w:sz w:val="24"/>
          <w:szCs w:val="24"/>
          <w:lang w:eastAsia="sk-SK"/>
        </w:rPr>
        <w:t>Výbor proti mučeniu</w:t>
      </w:r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 (CAT)</w:t>
      </w:r>
    </w:p>
    <w:p w:rsidR="00A43313" w:rsidRPr="00A43313" w:rsidRDefault="00A43313" w:rsidP="00881E5E">
      <w:pPr>
        <w:numPr>
          <w:ilvl w:val="0"/>
          <w:numId w:val="41"/>
        </w:numPr>
        <w:spacing w:after="0" w:line="360" w:lineRule="auto"/>
        <w:ind w:left="313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Dohovor o odstránení všetkých foriem diskriminácie žien - </w:t>
      </w:r>
      <w:r w:rsidRPr="00A43313">
        <w:rPr>
          <w:rFonts w:ascii="Arial" w:eastAsia="Times New Roman" w:hAnsi="Arial" w:cs="Arial"/>
          <w:b/>
          <w:sz w:val="24"/>
          <w:szCs w:val="24"/>
          <w:lang w:eastAsia="sk-SK"/>
        </w:rPr>
        <w:t>Výbor pre odstránenie diskriminácie žien</w:t>
      </w:r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 (CEDAW)</w:t>
      </w:r>
    </w:p>
    <w:p w:rsidR="00A43313" w:rsidRPr="00A43313" w:rsidRDefault="00A43313" w:rsidP="00881E5E">
      <w:pPr>
        <w:numPr>
          <w:ilvl w:val="0"/>
          <w:numId w:val="41"/>
        </w:numPr>
        <w:spacing w:after="0" w:line="360" w:lineRule="auto"/>
        <w:ind w:left="313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Dohovor o právach osôb so zdravotným postihnutím - </w:t>
      </w:r>
      <w:r w:rsidRPr="00A43313">
        <w:rPr>
          <w:rFonts w:ascii="Arial" w:eastAsia="Times New Roman" w:hAnsi="Arial" w:cs="Arial"/>
          <w:b/>
          <w:sz w:val="24"/>
          <w:szCs w:val="24"/>
          <w:lang w:eastAsia="sk-SK"/>
        </w:rPr>
        <w:t>Výbor pre práva osôb so zdravotným postihnutím</w:t>
      </w:r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 (CRPD)</w:t>
      </w:r>
    </w:p>
    <w:p w:rsidR="00A43313" w:rsidRPr="00A43313" w:rsidRDefault="00A43313" w:rsidP="00881E5E">
      <w:pPr>
        <w:numPr>
          <w:ilvl w:val="0"/>
          <w:numId w:val="41"/>
        </w:numPr>
        <w:spacing w:after="0" w:line="360" w:lineRule="auto"/>
        <w:ind w:left="313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Dohovor o právach dieťaťa – </w:t>
      </w:r>
      <w:r w:rsidRPr="00A43313">
        <w:rPr>
          <w:rFonts w:ascii="Arial" w:eastAsia="Times New Roman" w:hAnsi="Arial" w:cs="Arial"/>
          <w:b/>
          <w:sz w:val="24"/>
          <w:szCs w:val="24"/>
          <w:lang w:eastAsia="sk-SK"/>
        </w:rPr>
        <w:t>Výbor pre práva dieťaťa</w:t>
      </w:r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 (CRC)</w:t>
      </w:r>
    </w:p>
    <w:p w:rsidR="00A43313" w:rsidRPr="00A43313" w:rsidRDefault="00A43313" w:rsidP="00881E5E">
      <w:pPr>
        <w:numPr>
          <w:ilvl w:val="0"/>
          <w:numId w:val="41"/>
        </w:numPr>
        <w:spacing w:after="0" w:line="360" w:lineRule="auto"/>
        <w:ind w:left="313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Medzinárodný dohovor o ochrane práv všetkých migrujúcich pracovníkov a členov ich rodín – </w:t>
      </w:r>
      <w:r w:rsidRPr="00A43313">
        <w:rPr>
          <w:rFonts w:ascii="Arial" w:eastAsia="Times New Roman" w:hAnsi="Arial" w:cs="Arial"/>
          <w:b/>
          <w:sz w:val="24"/>
          <w:szCs w:val="24"/>
          <w:lang w:eastAsia="sk-SK"/>
        </w:rPr>
        <w:t>Výbor pre migrujúcich pracovníkov</w:t>
      </w:r>
      <w:r w:rsidRPr="00A43313">
        <w:rPr>
          <w:rFonts w:ascii="Arial" w:eastAsia="Times New Roman" w:hAnsi="Arial" w:cs="Arial"/>
          <w:sz w:val="24"/>
          <w:szCs w:val="24"/>
          <w:lang w:eastAsia="sk-SK"/>
        </w:rPr>
        <w:t xml:space="preserve"> (CMW)</w:t>
      </w:r>
    </w:p>
    <w:p w:rsidR="00A43313" w:rsidRPr="003F0727" w:rsidRDefault="00A43313" w:rsidP="003F0727">
      <w:pPr>
        <w:pStyle w:val="Odsekzoznamu"/>
        <w:numPr>
          <w:ilvl w:val="0"/>
          <w:numId w:val="4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F0727">
        <w:rPr>
          <w:rFonts w:ascii="Arial" w:eastAsia="Times New Roman" w:hAnsi="Arial" w:cs="Arial"/>
          <w:sz w:val="24"/>
          <w:szCs w:val="24"/>
          <w:lang w:eastAsia="sk-SK"/>
        </w:rPr>
        <w:t>Slovensko je zmluvnou stranou všetkých spomenutých dohovorov.</w:t>
      </w:r>
    </w:p>
    <w:p w:rsidR="009F2420" w:rsidRDefault="009F2420" w:rsidP="009F2420">
      <w:pPr>
        <w:pStyle w:val="Odsekzoznamu"/>
        <w:numPr>
          <w:ilvl w:val="0"/>
          <w:numId w:val="4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v</w:t>
      </w:r>
      <w:r w:rsidR="00A43313" w:rsidRPr="009F2420">
        <w:rPr>
          <w:rFonts w:ascii="Arial" w:eastAsia="Times New Roman" w:hAnsi="Arial" w:cs="Arial"/>
          <w:sz w:val="24"/>
          <w:szCs w:val="24"/>
          <w:lang w:eastAsia="sk-SK"/>
        </w:rPr>
        <w:t xml:space="preserve"> prípade podávania individuálnych sťažností vo všetkých prípadoch, vrátane Výboru pre ľudské práva platí, že sťažnosť môže podať obyvateľ SR, a to sám za seba, alebo v mene obete, ak bola táto obeť jeho alebo jej blízkym príbuzným </w:t>
      </w:r>
    </w:p>
    <w:p w:rsidR="009F2420" w:rsidRDefault="009F2420" w:rsidP="009F2420">
      <w:pPr>
        <w:pStyle w:val="Odsekzoznamu"/>
        <w:numPr>
          <w:ilvl w:val="0"/>
          <w:numId w:val="4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j</w:t>
      </w:r>
      <w:r w:rsidR="00A43313" w:rsidRPr="009F2420">
        <w:rPr>
          <w:rFonts w:ascii="Arial" w:eastAsia="Times New Roman" w:hAnsi="Arial" w:cs="Arial"/>
          <w:sz w:val="24"/>
          <w:szCs w:val="24"/>
          <w:lang w:eastAsia="sk-SK"/>
        </w:rPr>
        <w:t xml:space="preserve">e na výbere tejto osoby, či sa nechá zastúpiť alebo nie, právne zastúpenie totiž nie je podmienkou pripustenia sťažnosti </w:t>
      </w:r>
    </w:p>
    <w:p w:rsidR="009F2420" w:rsidRDefault="009F2420" w:rsidP="009F2420">
      <w:pPr>
        <w:pStyle w:val="Odsekzoznamu"/>
        <w:numPr>
          <w:ilvl w:val="0"/>
          <w:numId w:val="4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po</w:t>
      </w:r>
      <w:r w:rsidR="00A43313" w:rsidRPr="009F2420">
        <w:rPr>
          <w:rFonts w:ascii="Arial" w:eastAsia="Times New Roman" w:hAnsi="Arial" w:cs="Arial"/>
          <w:sz w:val="24"/>
          <w:szCs w:val="24"/>
          <w:lang w:eastAsia="sk-SK"/>
        </w:rPr>
        <w:t xml:space="preserve">dmienkou je však vyčerpanie národných prostriedkov nápravy </w:t>
      </w:r>
    </w:p>
    <w:p w:rsidR="009F2420" w:rsidRDefault="009F2420" w:rsidP="009F2420">
      <w:pPr>
        <w:pStyle w:val="Odsekzoznamu"/>
        <w:numPr>
          <w:ilvl w:val="0"/>
          <w:numId w:val="4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s</w:t>
      </w:r>
      <w:r w:rsidR="00A43313" w:rsidRPr="009F2420">
        <w:rPr>
          <w:rFonts w:ascii="Arial" w:eastAsia="Times New Roman" w:hAnsi="Arial" w:cs="Arial"/>
          <w:sz w:val="24"/>
          <w:szCs w:val="24"/>
          <w:lang w:eastAsia="sk-SK"/>
        </w:rPr>
        <w:t>ťažnosť sa podáva v jednom z oficiálnych jazykov OSN (angličtina, francúzština, š</w:t>
      </w:r>
      <w:r>
        <w:rPr>
          <w:rFonts w:ascii="Arial" w:eastAsia="Times New Roman" w:hAnsi="Arial" w:cs="Arial"/>
          <w:sz w:val="24"/>
          <w:szCs w:val="24"/>
          <w:lang w:eastAsia="sk-SK"/>
        </w:rPr>
        <w:t>panielčina, ruština, čínština)</w:t>
      </w:r>
    </w:p>
    <w:p w:rsidR="009F2420" w:rsidRDefault="009F2420" w:rsidP="009F2420">
      <w:pPr>
        <w:pStyle w:val="Odsekzoznamu"/>
        <w:numPr>
          <w:ilvl w:val="0"/>
          <w:numId w:val="4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m</w:t>
      </w:r>
      <w:r w:rsidR="00A43313" w:rsidRPr="009F2420">
        <w:rPr>
          <w:rFonts w:ascii="Arial" w:eastAsia="Times New Roman" w:hAnsi="Arial" w:cs="Arial"/>
          <w:sz w:val="24"/>
          <w:szCs w:val="24"/>
          <w:lang w:eastAsia="sk-SK"/>
        </w:rPr>
        <w:t>usí byť písomná, podávateľ v nej musí uviesť dôvod, prečo sa rozhodol žiadosť podať a musí v nej byť konkretizovaný podávateľ a štát, pr</w:t>
      </w:r>
      <w:r>
        <w:rPr>
          <w:rFonts w:ascii="Arial" w:eastAsia="Times New Roman" w:hAnsi="Arial" w:cs="Arial"/>
          <w:sz w:val="24"/>
          <w:szCs w:val="24"/>
          <w:lang w:eastAsia="sk-SK"/>
        </w:rPr>
        <w:t>oti ktorému sa sťažnosť podáva</w:t>
      </w:r>
    </w:p>
    <w:p w:rsidR="009F2420" w:rsidRDefault="009F2420" w:rsidP="009F2420">
      <w:pPr>
        <w:pStyle w:val="Odsekzoznamu"/>
        <w:numPr>
          <w:ilvl w:val="0"/>
          <w:numId w:val="4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F2420">
        <w:rPr>
          <w:rFonts w:ascii="Arial" w:eastAsia="Times New Roman" w:hAnsi="Arial" w:cs="Arial"/>
          <w:sz w:val="24"/>
          <w:szCs w:val="24"/>
          <w:lang w:eastAsia="sk-SK"/>
        </w:rPr>
        <w:t>ď</w:t>
      </w:r>
      <w:r w:rsidR="00A43313" w:rsidRPr="009F2420">
        <w:rPr>
          <w:rFonts w:ascii="Arial" w:eastAsia="Times New Roman" w:hAnsi="Arial" w:cs="Arial"/>
          <w:sz w:val="24"/>
          <w:szCs w:val="24"/>
          <w:lang w:eastAsia="sk-SK"/>
        </w:rPr>
        <w:t>alšou podmienkou je, že štát, proti ktorému sa sťažnosť podáva, akceptoval právomoc výboru rozhodovať vo ve</w:t>
      </w:r>
      <w:r>
        <w:rPr>
          <w:rFonts w:ascii="Arial" w:eastAsia="Times New Roman" w:hAnsi="Arial" w:cs="Arial"/>
          <w:sz w:val="24"/>
          <w:szCs w:val="24"/>
          <w:lang w:eastAsia="sk-SK"/>
        </w:rPr>
        <w:t>ciach individuálnych sťažností</w:t>
      </w:r>
    </w:p>
    <w:p w:rsidR="00A43313" w:rsidRDefault="009F2420" w:rsidP="009F2420">
      <w:pPr>
        <w:pStyle w:val="Odsekzoznamu"/>
        <w:numPr>
          <w:ilvl w:val="0"/>
          <w:numId w:val="46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r</w:t>
      </w:r>
      <w:r w:rsidR="00A43313" w:rsidRPr="009F2420">
        <w:rPr>
          <w:rFonts w:ascii="Arial" w:eastAsia="Times New Roman" w:hAnsi="Arial" w:cs="Arial"/>
          <w:sz w:val="24"/>
          <w:szCs w:val="24"/>
          <w:lang w:eastAsia="sk-SK"/>
        </w:rPr>
        <w:t xml:space="preserve">ozhodnutia výborov sú nezáväzné, pre </w:t>
      </w:r>
      <w:r>
        <w:rPr>
          <w:rFonts w:ascii="Arial" w:eastAsia="Times New Roman" w:hAnsi="Arial" w:cs="Arial"/>
          <w:sz w:val="24"/>
          <w:szCs w:val="24"/>
          <w:lang w:eastAsia="sk-SK"/>
        </w:rPr>
        <w:t>štáty majú odporúčací charakter</w:t>
      </w:r>
    </w:p>
    <w:p w:rsidR="009F2420" w:rsidRDefault="0038605D" w:rsidP="009F242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1D1D1D"/>
          <w:sz w:val="24"/>
          <w:szCs w:val="24"/>
          <w:lang w:eastAsia="sk-SK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5252085</wp:posOffset>
            </wp:positionH>
            <wp:positionV relativeFrom="margin">
              <wp:align>top</wp:align>
            </wp:positionV>
            <wp:extent cx="1242695" cy="1718945"/>
            <wp:effectExtent l="19050" t="0" r="0" b="0"/>
            <wp:wrapSquare wrapText="bothSides"/>
            <wp:docPr id="3" name="Obrázok 0" descr="prava_ochr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va_ochrana.jpg"/>
                    <pic:cNvPicPr/>
                  </pic:nvPicPr>
                  <pic:blipFill>
                    <a:blip r:embed="rId10" cstate="print">
                      <a:lum bright="-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69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20" w:rsidRPr="009F2420">
        <w:rPr>
          <w:rStyle w:val="Nadpis1Char"/>
          <w:lang w:eastAsia="sk-SK"/>
        </w:rPr>
        <w:t>Európsky regionálny systém ochrany ľudských práv</w:t>
      </w:r>
      <w:r w:rsidR="009F2420" w:rsidRPr="009F2420">
        <w:rPr>
          <w:rFonts w:ascii="Arial" w:eastAsia="Times New Roman" w:hAnsi="Arial" w:cs="Arial"/>
          <w:color w:val="1D1D1D"/>
          <w:sz w:val="24"/>
          <w:szCs w:val="24"/>
          <w:lang w:eastAsia="sk-SK"/>
        </w:rPr>
        <w:t xml:space="preserve"> </w:t>
      </w:r>
    </w:p>
    <w:p w:rsidR="009F2420" w:rsidRPr="009F2420" w:rsidRDefault="009F2420" w:rsidP="009F2420">
      <w:pPr>
        <w:pStyle w:val="Odsekzoznamu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F2420">
        <w:rPr>
          <w:rFonts w:ascii="Arial" w:eastAsia="Times New Roman" w:hAnsi="Arial" w:cs="Arial"/>
          <w:sz w:val="24"/>
          <w:szCs w:val="24"/>
          <w:lang w:eastAsia="sk-SK"/>
        </w:rPr>
        <w:t>je najefektívnejším spomedzi existujúcich systémov ľudsko-právnej ochrany</w:t>
      </w:r>
    </w:p>
    <w:p w:rsidR="009F2420" w:rsidRDefault="009F2420" w:rsidP="009F2420">
      <w:pPr>
        <w:pStyle w:val="Odsekzoznamu"/>
        <w:numPr>
          <w:ilvl w:val="0"/>
          <w:numId w:val="43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9F2420">
        <w:rPr>
          <w:rFonts w:ascii="Arial" w:eastAsia="Times New Roman" w:hAnsi="Arial" w:cs="Arial"/>
          <w:sz w:val="24"/>
          <w:szCs w:val="24"/>
          <w:lang w:eastAsia="sk-SK"/>
        </w:rPr>
        <w:t>je založený na činnosti troch nezávislých štruktúr:</w:t>
      </w:r>
    </w:p>
    <w:p w:rsidR="00FC767A" w:rsidRDefault="00FC767A" w:rsidP="00FC767A">
      <w:pPr>
        <w:pStyle w:val="Odsekzoznamu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8605D" w:rsidRPr="009F2420" w:rsidRDefault="0038605D" w:rsidP="0038605D">
      <w:pPr>
        <w:pStyle w:val="Odsekzoznamu"/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38605D" w:rsidRDefault="00FC767A" w:rsidP="009F2420">
      <w:pPr>
        <w:pStyle w:val="Odsekzoznamu"/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-104775</wp:posOffset>
            </wp:positionH>
            <wp:positionV relativeFrom="margin">
              <wp:posOffset>1964055</wp:posOffset>
            </wp:positionV>
            <wp:extent cx="1699895" cy="526415"/>
            <wp:effectExtent l="19050" t="0" r="0" b="0"/>
            <wp:wrapSquare wrapText="bothSides"/>
            <wp:docPr id="6" name="Obrázok 5" descr="o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c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20" w:rsidRPr="0038605D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Organizácia pre bezpečnosť a spoluprácu v Európe (OBSE) </w:t>
      </w:r>
      <w:r w:rsidR="009F2420" w:rsidRPr="0038605D">
        <w:rPr>
          <w:rFonts w:ascii="Arial" w:eastAsia="Times New Roman" w:hAnsi="Arial" w:cs="Arial"/>
          <w:sz w:val="24"/>
          <w:szCs w:val="24"/>
          <w:lang w:eastAsia="sk-SK"/>
        </w:rPr>
        <w:t xml:space="preserve">– jej základnou úlohou je udržiavanie bezpečnosti a mieru medzi členskými štátmi. Slovensko je členom tejto organizácie. 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                </w:t>
      </w:r>
      <w:r w:rsidR="009F2420" w:rsidRPr="0038605D">
        <w:rPr>
          <w:rFonts w:ascii="Arial" w:eastAsia="Times New Roman" w:hAnsi="Arial" w:cs="Arial"/>
          <w:sz w:val="24"/>
          <w:szCs w:val="24"/>
          <w:lang w:eastAsia="sk-SK"/>
        </w:rPr>
        <w:t>V súčasnosti sa dá povedať, že jej angažovanosť v oblasti ľudských práv má skôr klesajúcu tendenciu.</w:t>
      </w:r>
    </w:p>
    <w:p w:rsidR="0038605D" w:rsidRDefault="00FC767A" w:rsidP="009F2420">
      <w:pPr>
        <w:pStyle w:val="Odsekzoznamu"/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-35560</wp:posOffset>
            </wp:positionH>
            <wp:positionV relativeFrom="margin">
              <wp:posOffset>3206115</wp:posOffset>
            </wp:positionV>
            <wp:extent cx="1741805" cy="983615"/>
            <wp:effectExtent l="19050" t="0" r="0" b="0"/>
            <wp:wrapSquare wrapText="bothSides"/>
            <wp:docPr id="7" name="Obrázok 6" descr="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20" w:rsidRPr="0038605D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Európska únia</w:t>
      </w:r>
      <w:r w:rsidR="009F2420" w:rsidRPr="0038605D">
        <w:rPr>
          <w:rFonts w:ascii="Arial" w:eastAsia="Times New Roman" w:hAnsi="Arial" w:cs="Arial"/>
          <w:sz w:val="24"/>
          <w:szCs w:val="24"/>
          <w:lang w:eastAsia="sk-SK"/>
        </w:rPr>
        <w:t> – napriek tomu, že bola založená za účelom ekonomickej integrácie, jej angažovanosť vo sfére ľudských práv neustále rastie. Základným ľudsko-právnym dokumentom v rámci únie je Charta základných práv Európskej únie. Bola vyhlásená v decembri roku 2000, právne záväznou sa však stala až po deviatich rokoch existencie, a to vstupom Lisabonskej zmluvy do platnosti v roku 2009.</w:t>
      </w:r>
    </w:p>
    <w:p w:rsidR="009F2420" w:rsidRPr="0038605D" w:rsidRDefault="00FC767A" w:rsidP="009F2420">
      <w:pPr>
        <w:pStyle w:val="Odsekzoznamu"/>
        <w:numPr>
          <w:ilvl w:val="0"/>
          <w:numId w:val="48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  <w:lang w:eastAsia="sk-SK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44450</wp:posOffset>
            </wp:positionH>
            <wp:positionV relativeFrom="margin">
              <wp:posOffset>4826635</wp:posOffset>
            </wp:positionV>
            <wp:extent cx="1551305" cy="874395"/>
            <wp:effectExtent l="19050" t="0" r="0" b="0"/>
            <wp:wrapSquare wrapText="bothSides"/>
            <wp:docPr id="8" name="Obrázok 7" descr="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2420" w:rsidRPr="0038605D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Rada Európy</w:t>
      </w:r>
      <w:r w:rsidR="009F2420" w:rsidRPr="0038605D">
        <w:rPr>
          <w:rFonts w:ascii="Arial" w:eastAsia="Times New Roman" w:hAnsi="Arial" w:cs="Arial"/>
          <w:sz w:val="24"/>
          <w:szCs w:val="24"/>
          <w:lang w:eastAsia="sk-SK"/>
        </w:rPr>
        <w:t> – medzinárodná organizácia, zriadená pre potreby ochrany ľudských práv v Európe.</w:t>
      </w:r>
    </w:p>
    <w:p w:rsidR="009F2420" w:rsidRPr="009F2420" w:rsidRDefault="009F2420" w:rsidP="009F2420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A239B4" w:rsidRPr="009F2420" w:rsidRDefault="00A239B4" w:rsidP="00881E5E">
      <w:pPr>
        <w:spacing w:after="0"/>
        <w:rPr>
          <w:rFonts w:ascii="Arial" w:hAnsi="Arial" w:cs="Arial"/>
          <w:sz w:val="24"/>
          <w:szCs w:val="24"/>
        </w:rPr>
      </w:pPr>
    </w:p>
    <w:p w:rsidR="00A239B4" w:rsidRPr="009F2420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9F2420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9F2420" w:rsidRDefault="00A239B4" w:rsidP="00A239B4">
      <w:pPr>
        <w:rPr>
          <w:rFonts w:ascii="Arial" w:hAnsi="Arial" w:cs="Arial"/>
          <w:sz w:val="24"/>
          <w:szCs w:val="24"/>
        </w:rPr>
      </w:pPr>
    </w:p>
    <w:p w:rsidR="00A239B4" w:rsidRPr="009F2420" w:rsidRDefault="00A239B4" w:rsidP="00A239B4">
      <w:pPr>
        <w:rPr>
          <w:rFonts w:ascii="Arial" w:hAnsi="Arial" w:cs="Arial"/>
          <w:sz w:val="24"/>
          <w:szCs w:val="24"/>
        </w:rPr>
      </w:pPr>
    </w:p>
    <w:sectPr w:rsidR="00A239B4" w:rsidRPr="009F2420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D20" w:rsidRDefault="00AB3D20" w:rsidP="000B3521">
      <w:pPr>
        <w:spacing w:after="0" w:line="240" w:lineRule="auto"/>
      </w:pPr>
      <w:r>
        <w:separator/>
      </w:r>
    </w:p>
  </w:endnote>
  <w:endnote w:type="continuationSeparator" w:id="0">
    <w:p w:rsidR="00AB3D20" w:rsidRDefault="00AB3D20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D20" w:rsidRDefault="00AB3D20" w:rsidP="000B3521">
      <w:pPr>
        <w:spacing w:after="0" w:line="240" w:lineRule="auto"/>
      </w:pPr>
      <w:r>
        <w:separator/>
      </w:r>
    </w:p>
  </w:footnote>
  <w:footnote w:type="continuationSeparator" w:id="0">
    <w:p w:rsidR="00AB3D20" w:rsidRDefault="00AB3D20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83" type="#_x0000_t75" style="width:10.95pt;height:10.95pt" o:bullet="t">
        <v:imagedata r:id="rId1" o:title="BD14513_"/>
      </v:shape>
    </w:pict>
  </w:numPicBullet>
  <w:numPicBullet w:numPicBulletId="1">
    <w:pict>
      <v:shape id="_x0000_i1584" type="#_x0000_t75" style="width:10.95pt;height:9.4pt" o:bullet="t">
        <v:imagedata r:id="rId2" o:title="BD21295_"/>
      </v:shape>
    </w:pict>
  </w:numPicBullet>
  <w:numPicBullet w:numPicBulletId="2">
    <w:pict>
      <v:shape id="_x0000_i1585" type="#_x0000_t75" style="width:9.4pt;height:9.4pt" o:bullet="t">
        <v:imagedata r:id="rId3" o:title="BD21298_"/>
      </v:shape>
    </w:pict>
  </w:numPicBullet>
  <w:numPicBullet w:numPicBulletId="3">
    <w:pict>
      <v:shape id="_x0000_i1586" type="#_x0000_t75" style="width:11.75pt;height:12.5pt" o:bullet="t">
        <v:imagedata r:id="rId4" o:title="BD21302_"/>
      </v:shape>
    </w:pict>
  </w:numPicBullet>
  <w:numPicBullet w:numPicBulletId="4">
    <w:pict>
      <v:shape id="_x0000_i1587" type="#_x0000_t75" style="width:9.4pt;height:9.4pt" o:bullet="t">
        <v:imagedata r:id="rId5" o:title="BD21297_"/>
      </v:shape>
    </w:pict>
  </w:numPicBullet>
  <w:numPicBullet w:numPicBulletId="5">
    <w:pict>
      <v:shape id="_x0000_i1588" type="#_x0000_t75" style="width:9.4pt;height:9.4pt" o:bullet="t">
        <v:imagedata r:id="rId6" o:title="BD14533_"/>
      </v:shape>
    </w:pict>
  </w:numPicBullet>
  <w:numPicBullet w:numPicBulletId="6">
    <w:pict>
      <v:shape id="_x0000_i1589" type="#_x0000_t75" style="width:9.4pt;height:9.4pt" o:bullet="t">
        <v:imagedata r:id="rId7" o:title="BD10265_"/>
      </v:shape>
    </w:pict>
  </w:numPicBullet>
  <w:numPicBullet w:numPicBulletId="7">
    <w:pict>
      <v:shape id="_x0000_i1590" type="#_x0000_t75" style="width:10.95pt;height:9.4pt" o:bullet="t">
        <v:imagedata r:id="rId8" o:title="BD21300_"/>
      </v:shape>
    </w:pict>
  </w:numPicBullet>
  <w:numPicBullet w:numPicBulletId="8">
    <w:pict>
      <v:shape id="_x0000_i1591" type="#_x0000_t75" style="width:9.4pt;height:9.4pt" o:bullet="t">
        <v:imagedata r:id="rId9" o:title="BD10267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2369D"/>
    <w:multiLevelType w:val="hybridMultilevel"/>
    <w:tmpl w:val="CFDE31EC"/>
    <w:lvl w:ilvl="0" w:tplc="B51C7266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D609C"/>
    <w:multiLevelType w:val="multilevel"/>
    <w:tmpl w:val="6FA47664"/>
    <w:lvl w:ilvl="0">
      <w:start w:val="1"/>
      <w:numFmt w:val="decimal"/>
      <w:lvlText w:val="%1."/>
      <w:lvlJc w:val="left"/>
      <w:pPr>
        <w:tabs>
          <w:tab w:val="num" w:pos="1707"/>
        </w:tabs>
        <w:ind w:left="1707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2427"/>
        </w:tabs>
        <w:ind w:left="2427" w:hanging="360"/>
      </w:pPr>
    </w:lvl>
    <w:lvl w:ilvl="2" w:tentative="1">
      <w:start w:val="1"/>
      <w:numFmt w:val="decimal"/>
      <w:lvlText w:val="%3."/>
      <w:lvlJc w:val="left"/>
      <w:pPr>
        <w:tabs>
          <w:tab w:val="num" w:pos="3147"/>
        </w:tabs>
        <w:ind w:left="3147" w:hanging="360"/>
      </w:pPr>
    </w:lvl>
    <w:lvl w:ilvl="3" w:tentative="1">
      <w:start w:val="1"/>
      <w:numFmt w:val="decimal"/>
      <w:lvlText w:val="%4."/>
      <w:lvlJc w:val="left"/>
      <w:pPr>
        <w:tabs>
          <w:tab w:val="num" w:pos="3867"/>
        </w:tabs>
        <w:ind w:left="3867" w:hanging="360"/>
      </w:pPr>
    </w:lvl>
    <w:lvl w:ilvl="4" w:tentative="1">
      <w:start w:val="1"/>
      <w:numFmt w:val="decimal"/>
      <w:lvlText w:val="%5."/>
      <w:lvlJc w:val="left"/>
      <w:pPr>
        <w:tabs>
          <w:tab w:val="num" w:pos="4587"/>
        </w:tabs>
        <w:ind w:left="4587" w:hanging="360"/>
      </w:pPr>
    </w:lvl>
    <w:lvl w:ilvl="5" w:tentative="1">
      <w:start w:val="1"/>
      <w:numFmt w:val="decimal"/>
      <w:lvlText w:val="%6."/>
      <w:lvlJc w:val="left"/>
      <w:pPr>
        <w:tabs>
          <w:tab w:val="num" w:pos="5307"/>
        </w:tabs>
        <w:ind w:left="5307" w:hanging="360"/>
      </w:pPr>
    </w:lvl>
    <w:lvl w:ilvl="6" w:tentative="1">
      <w:start w:val="1"/>
      <w:numFmt w:val="decimal"/>
      <w:lvlText w:val="%7."/>
      <w:lvlJc w:val="left"/>
      <w:pPr>
        <w:tabs>
          <w:tab w:val="num" w:pos="6027"/>
        </w:tabs>
        <w:ind w:left="6027" w:hanging="360"/>
      </w:pPr>
    </w:lvl>
    <w:lvl w:ilvl="7" w:tentative="1">
      <w:start w:val="1"/>
      <w:numFmt w:val="decimal"/>
      <w:lvlText w:val="%8."/>
      <w:lvlJc w:val="left"/>
      <w:pPr>
        <w:tabs>
          <w:tab w:val="num" w:pos="6747"/>
        </w:tabs>
        <w:ind w:left="6747" w:hanging="360"/>
      </w:pPr>
    </w:lvl>
    <w:lvl w:ilvl="8" w:tentative="1">
      <w:start w:val="1"/>
      <w:numFmt w:val="decimal"/>
      <w:lvlText w:val="%9."/>
      <w:lvlJc w:val="left"/>
      <w:pPr>
        <w:tabs>
          <w:tab w:val="num" w:pos="7467"/>
        </w:tabs>
        <w:ind w:left="7467" w:hanging="360"/>
      </w:pPr>
    </w:lvl>
  </w:abstractNum>
  <w:abstractNum w:abstractNumId="3">
    <w:nsid w:val="03B85059"/>
    <w:multiLevelType w:val="hybridMultilevel"/>
    <w:tmpl w:val="DA7A147C"/>
    <w:lvl w:ilvl="0" w:tplc="DB5295D8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012846"/>
    <w:multiLevelType w:val="hybridMultilevel"/>
    <w:tmpl w:val="DEA4C8B8"/>
    <w:lvl w:ilvl="0" w:tplc="DB5295D8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C4043B"/>
    <w:multiLevelType w:val="hybridMultilevel"/>
    <w:tmpl w:val="A25E7D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8A18AB"/>
    <w:multiLevelType w:val="hybridMultilevel"/>
    <w:tmpl w:val="D00029CE"/>
    <w:lvl w:ilvl="0" w:tplc="E2929F5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95697A"/>
    <w:multiLevelType w:val="hybridMultilevel"/>
    <w:tmpl w:val="AE22CF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AF3309"/>
    <w:multiLevelType w:val="hybridMultilevel"/>
    <w:tmpl w:val="D94250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DF45F2"/>
    <w:multiLevelType w:val="hybridMultilevel"/>
    <w:tmpl w:val="431A8870"/>
    <w:lvl w:ilvl="0" w:tplc="DB5295D8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830446"/>
    <w:multiLevelType w:val="hybridMultilevel"/>
    <w:tmpl w:val="DAFC73BE"/>
    <w:lvl w:ilvl="0" w:tplc="A26C9E6A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F523C8"/>
    <w:multiLevelType w:val="multilevel"/>
    <w:tmpl w:val="1FBC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E0151AB"/>
    <w:multiLevelType w:val="hybridMultilevel"/>
    <w:tmpl w:val="B22600DC"/>
    <w:lvl w:ilvl="0" w:tplc="63E271C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29A2D82"/>
    <w:multiLevelType w:val="hybridMultilevel"/>
    <w:tmpl w:val="AC6C5B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E5308F"/>
    <w:multiLevelType w:val="hybridMultilevel"/>
    <w:tmpl w:val="2D26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815B94"/>
    <w:multiLevelType w:val="hybridMultilevel"/>
    <w:tmpl w:val="8B14E19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B30641"/>
    <w:multiLevelType w:val="multilevel"/>
    <w:tmpl w:val="3884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6D63A3A"/>
    <w:multiLevelType w:val="hybridMultilevel"/>
    <w:tmpl w:val="02EC95D4"/>
    <w:lvl w:ilvl="0" w:tplc="2B8ADCF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3830F3A"/>
    <w:multiLevelType w:val="hybridMultilevel"/>
    <w:tmpl w:val="22264F4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40630FE"/>
    <w:multiLevelType w:val="hybridMultilevel"/>
    <w:tmpl w:val="96420C08"/>
    <w:lvl w:ilvl="0" w:tplc="A26C9E6A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66400A0"/>
    <w:multiLevelType w:val="hybridMultilevel"/>
    <w:tmpl w:val="3858D77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A581D2D"/>
    <w:multiLevelType w:val="multilevel"/>
    <w:tmpl w:val="1FBC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E61420"/>
    <w:multiLevelType w:val="hybridMultilevel"/>
    <w:tmpl w:val="2BE8B44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3F5ACE"/>
    <w:multiLevelType w:val="multilevel"/>
    <w:tmpl w:val="D6DE9DA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4"/>
  </w:num>
  <w:num w:numId="3">
    <w:abstractNumId w:val="30"/>
  </w:num>
  <w:num w:numId="4">
    <w:abstractNumId w:val="6"/>
  </w:num>
  <w:num w:numId="5">
    <w:abstractNumId w:val="33"/>
  </w:num>
  <w:num w:numId="6">
    <w:abstractNumId w:val="9"/>
  </w:num>
  <w:num w:numId="7">
    <w:abstractNumId w:val="43"/>
  </w:num>
  <w:num w:numId="8">
    <w:abstractNumId w:val="23"/>
  </w:num>
  <w:num w:numId="9">
    <w:abstractNumId w:val="10"/>
  </w:num>
  <w:num w:numId="10">
    <w:abstractNumId w:val="15"/>
  </w:num>
  <w:num w:numId="11">
    <w:abstractNumId w:val="37"/>
  </w:num>
  <w:num w:numId="12">
    <w:abstractNumId w:val="25"/>
  </w:num>
  <w:num w:numId="13">
    <w:abstractNumId w:val="29"/>
  </w:num>
  <w:num w:numId="14">
    <w:abstractNumId w:val="20"/>
  </w:num>
  <w:num w:numId="15">
    <w:abstractNumId w:val="7"/>
  </w:num>
  <w:num w:numId="16">
    <w:abstractNumId w:val="47"/>
  </w:num>
  <w:num w:numId="17">
    <w:abstractNumId w:val="0"/>
  </w:num>
  <w:num w:numId="18">
    <w:abstractNumId w:val="12"/>
  </w:num>
  <w:num w:numId="19">
    <w:abstractNumId w:val="22"/>
  </w:num>
  <w:num w:numId="20">
    <w:abstractNumId w:val="36"/>
  </w:num>
  <w:num w:numId="21">
    <w:abstractNumId w:val="31"/>
  </w:num>
  <w:num w:numId="22">
    <w:abstractNumId w:val="41"/>
  </w:num>
  <w:num w:numId="23">
    <w:abstractNumId w:val="26"/>
  </w:num>
  <w:num w:numId="24">
    <w:abstractNumId w:val="35"/>
  </w:num>
  <w:num w:numId="25">
    <w:abstractNumId w:val="34"/>
  </w:num>
  <w:num w:numId="26">
    <w:abstractNumId w:val="13"/>
  </w:num>
  <w:num w:numId="27">
    <w:abstractNumId w:val="38"/>
  </w:num>
  <w:num w:numId="28">
    <w:abstractNumId w:val="8"/>
  </w:num>
  <w:num w:numId="29">
    <w:abstractNumId w:val="21"/>
  </w:num>
  <w:num w:numId="30">
    <w:abstractNumId w:val="24"/>
  </w:num>
  <w:num w:numId="31">
    <w:abstractNumId w:val="40"/>
  </w:num>
  <w:num w:numId="32">
    <w:abstractNumId w:val="5"/>
  </w:num>
  <w:num w:numId="33">
    <w:abstractNumId w:val="27"/>
  </w:num>
  <w:num w:numId="34">
    <w:abstractNumId w:val="11"/>
  </w:num>
  <w:num w:numId="35">
    <w:abstractNumId w:val="45"/>
  </w:num>
  <w:num w:numId="36">
    <w:abstractNumId w:val="32"/>
  </w:num>
  <w:num w:numId="37">
    <w:abstractNumId w:val="19"/>
  </w:num>
  <w:num w:numId="38">
    <w:abstractNumId w:val="2"/>
  </w:num>
  <w:num w:numId="39">
    <w:abstractNumId w:val="46"/>
  </w:num>
  <w:num w:numId="40">
    <w:abstractNumId w:val="42"/>
  </w:num>
  <w:num w:numId="41">
    <w:abstractNumId w:val="28"/>
  </w:num>
  <w:num w:numId="42">
    <w:abstractNumId w:val="39"/>
  </w:num>
  <w:num w:numId="43">
    <w:abstractNumId w:val="17"/>
  </w:num>
  <w:num w:numId="44">
    <w:abstractNumId w:val="3"/>
  </w:num>
  <w:num w:numId="45">
    <w:abstractNumId w:val="4"/>
  </w:num>
  <w:num w:numId="46">
    <w:abstractNumId w:val="14"/>
  </w:num>
  <w:num w:numId="47">
    <w:abstractNumId w:val="18"/>
  </w:num>
  <w:num w:numId="4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61DA6"/>
    <w:rsid w:val="00176E57"/>
    <w:rsid w:val="001945AB"/>
    <w:rsid w:val="001C25DA"/>
    <w:rsid w:val="001F02D5"/>
    <w:rsid w:val="00211FDA"/>
    <w:rsid w:val="002474B0"/>
    <w:rsid w:val="0026067C"/>
    <w:rsid w:val="00262BF8"/>
    <w:rsid w:val="002636B1"/>
    <w:rsid w:val="0027458D"/>
    <w:rsid w:val="0027701B"/>
    <w:rsid w:val="00290A8F"/>
    <w:rsid w:val="00297813"/>
    <w:rsid w:val="002B68B6"/>
    <w:rsid w:val="002E7747"/>
    <w:rsid w:val="002F5042"/>
    <w:rsid w:val="00305310"/>
    <w:rsid w:val="00336BB5"/>
    <w:rsid w:val="00363620"/>
    <w:rsid w:val="0038605D"/>
    <w:rsid w:val="00390411"/>
    <w:rsid w:val="003B62D6"/>
    <w:rsid w:val="003D210D"/>
    <w:rsid w:val="003D23BB"/>
    <w:rsid w:val="003D44DB"/>
    <w:rsid w:val="003D7B0C"/>
    <w:rsid w:val="003F0727"/>
    <w:rsid w:val="00467267"/>
    <w:rsid w:val="0047092A"/>
    <w:rsid w:val="004C139A"/>
    <w:rsid w:val="0051228B"/>
    <w:rsid w:val="005228B3"/>
    <w:rsid w:val="00552D5F"/>
    <w:rsid w:val="00575B76"/>
    <w:rsid w:val="00587B1A"/>
    <w:rsid w:val="005A7BBD"/>
    <w:rsid w:val="006465F3"/>
    <w:rsid w:val="00682902"/>
    <w:rsid w:val="00686BA3"/>
    <w:rsid w:val="006B0198"/>
    <w:rsid w:val="006C25BE"/>
    <w:rsid w:val="00712E0E"/>
    <w:rsid w:val="0072284E"/>
    <w:rsid w:val="007343B3"/>
    <w:rsid w:val="007C26FC"/>
    <w:rsid w:val="007F1435"/>
    <w:rsid w:val="007F4C06"/>
    <w:rsid w:val="008003F2"/>
    <w:rsid w:val="00810468"/>
    <w:rsid w:val="00810F0B"/>
    <w:rsid w:val="008219D2"/>
    <w:rsid w:val="008236B3"/>
    <w:rsid w:val="008547BF"/>
    <w:rsid w:val="00881E5E"/>
    <w:rsid w:val="00894558"/>
    <w:rsid w:val="008F4349"/>
    <w:rsid w:val="00901E57"/>
    <w:rsid w:val="00917FC6"/>
    <w:rsid w:val="00943257"/>
    <w:rsid w:val="00951008"/>
    <w:rsid w:val="009805DC"/>
    <w:rsid w:val="0099175A"/>
    <w:rsid w:val="00995C3C"/>
    <w:rsid w:val="00997D63"/>
    <w:rsid w:val="009E68A0"/>
    <w:rsid w:val="009F2420"/>
    <w:rsid w:val="00A02E78"/>
    <w:rsid w:val="00A11735"/>
    <w:rsid w:val="00A239B4"/>
    <w:rsid w:val="00A258F5"/>
    <w:rsid w:val="00A43313"/>
    <w:rsid w:val="00A803DB"/>
    <w:rsid w:val="00AB0F01"/>
    <w:rsid w:val="00AB3D20"/>
    <w:rsid w:val="00AE2054"/>
    <w:rsid w:val="00AE33BF"/>
    <w:rsid w:val="00AE4D0C"/>
    <w:rsid w:val="00B2528E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216D6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B2980"/>
    <w:rsid w:val="00EF071C"/>
    <w:rsid w:val="00EF5087"/>
    <w:rsid w:val="00F1090F"/>
    <w:rsid w:val="00FC606A"/>
    <w:rsid w:val="00FC767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2732]" strokecolor="none [24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239B4"/>
  </w:style>
  <w:style w:type="paragraph" w:styleId="Nadpis1">
    <w:name w:val="heading 1"/>
    <w:basedOn w:val="Normlny"/>
    <w:next w:val="Normlny"/>
    <w:link w:val="Nadpis1Char"/>
    <w:uiPriority w:val="9"/>
    <w:qFormat/>
    <w:rsid w:val="00C216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link w:val="Nadpis2Char"/>
    <w:uiPriority w:val="9"/>
    <w:qFormat/>
    <w:rsid w:val="00A433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A43313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C216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3821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1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11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Relationship Id="rId9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47B5FB-E3D1-4AC2-BCEA-06765601B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750</Words>
  <Characters>4276</Characters>
  <Application>Microsoft Office Word</Application>
  <DocSecurity>0</DocSecurity>
  <Lines>35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</vt:i4>
      </vt:variant>
    </vt:vector>
  </HeadingPairs>
  <TitlesOfParts>
    <vt:vector size="2" baseType="lpstr">
      <vt:lpstr/>
      <vt:lpstr>/Univerzálny systém ochrany ľudských práv</vt:lpstr>
    </vt:vector>
  </TitlesOfParts>
  <Company/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2020-06-09T19:46:00Z</dcterms:created>
  <dcterms:modified xsi:type="dcterms:W3CDTF">2020-06-09T19:46:00Z</dcterms:modified>
</cp:coreProperties>
</file>