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7E236B" w:rsidP="001F02D5">
      <w:pPr>
        <w:pStyle w:val="Nzov"/>
        <w:jc w:val="both"/>
      </w:pPr>
      <w:r>
        <w:t>Služby zamestnanosti</w:t>
      </w:r>
      <w:r>
        <w:tab/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40199C" w:rsidRDefault="007F1C4F" w:rsidP="007E236B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7F1C4F">
        <w:rPr>
          <w:b/>
        </w:rPr>
        <w:t>Čo sú to služby zamestnanosti?</w:t>
      </w:r>
    </w:p>
    <w:p w:rsidR="007F1C4F" w:rsidRPr="007F1C4F" w:rsidRDefault="007F1C4F" w:rsidP="007F1C4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F1C4F">
        <w:t xml:space="preserve">tento pojem zahrňuje zákonník práce </w:t>
      </w:r>
    </w:p>
    <w:p w:rsidR="007F1C4F" w:rsidRDefault="007F1C4F" w:rsidP="00F62136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F1C4F">
        <w:t xml:space="preserve">presné znenie odhaľuje zbierka zákonov, konkrétne zákon č.5/2004 </w:t>
      </w:r>
      <w:proofErr w:type="spellStart"/>
      <w:r w:rsidRPr="007F1C4F">
        <w:t>Z.z</w:t>
      </w:r>
      <w:proofErr w:type="spellEnd"/>
      <w:r w:rsidRPr="007F1C4F">
        <w:t>. on službách zamestnanosti</w:t>
      </w:r>
    </w:p>
    <w:p w:rsidR="00F62136" w:rsidRDefault="00F62136" w:rsidP="00F62136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240" w:afterAutospacing="0" w:line="360" w:lineRule="auto"/>
        <w:jc w:val="both"/>
      </w:pPr>
      <w:r w:rsidRPr="00D23571">
        <w:t>predstavujú systém inštitúcií a nástrojov podpory a pomoci účastníkom trhu práce pri hľadaní zamestnania, jeho zmene, pri obsadzovaní voľných pracovných miest a uplatňovaní aktívnych opatrení na trhu práce</w:t>
      </w:r>
    </w:p>
    <w:p w:rsidR="007F1C4F" w:rsidRPr="007F1C4F" w:rsidRDefault="007F1C4F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7F1C4F">
        <w:rPr>
          <w:b/>
        </w:rPr>
        <w:t>Komu sú určené služby zamestnanosti?</w:t>
      </w:r>
    </w:p>
    <w:p w:rsidR="007F1C4F" w:rsidRDefault="007F1C4F" w:rsidP="007F1C4F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09" w:hanging="283"/>
        <w:jc w:val="both"/>
      </w:pPr>
      <w:r>
        <w:t xml:space="preserve">každému </w:t>
      </w:r>
      <w:r w:rsidRPr="007F1C4F">
        <w:rPr>
          <w:b/>
          <w:color w:val="00B050"/>
        </w:rPr>
        <w:t>zamestnancovi</w:t>
      </w:r>
      <w:r>
        <w:t>, ktorý hľadá zamestnanie, alebo ho plánuje zmeniť</w:t>
      </w:r>
    </w:p>
    <w:p w:rsidR="007F1C4F" w:rsidRDefault="007F1C4F" w:rsidP="007F1C4F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09" w:hanging="283"/>
        <w:jc w:val="both"/>
      </w:pPr>
      <w:r w:rsidRPr="007F1C4F">
        <w:rPr>
          <w:b/>
          <w:color w:val="00B050"/>
        </w:rPr>
        <w:t>zamestnávateľom</w:t>
      </w:r>
      <w:r>
        <w:t xml:space="preserve"> na pomoc pri obsadení ponúkaných pracovných pozícii</w:t>
      </w:r>
    </w:p>
    <w:p w:rsidR="00621A7B" w:rsidRDefault="00621A7B" w:rsidP="00621A7B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240" w:afterAutospacing="0" w:line="360" w:lineRule="auto"/>
        <w:ind w:left="709" w:hanging="283"/>
        <w:jc w:val="both"/>
      </w:pPr>
      <w:r>
        <w:rPr>
          <w:b/>
          <w:color w:val="00B050"/>
        </w:rPr>
        <w:t xml:space="preserve">štátu </w:t>
      </w:r>
      <w:r>
        <w:t>zahŕňajú v sebe zákony a všetky opatrenia zo strany štátu na trhu práce</w:t>
      </w:r>
    </w:p>
    <w:p w:rsidR="00621A7B" w:rsidRDefault="00621A7B" w:rsidP="00621A7B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621A7B">
        <w:rPr>
          <w:b/>
        </w:rPr>
        <w:t>Ako fungujú služby zamestnanosti?</w:t>
      </w:r>
    </w:p>
    <w:p w:rsidR="00621A7B" w:rsidRDefault="00621A7B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1149A">
        <w:t>po príchode na úrad práce, by ste sa mali zastaviť</w:t>
      </w:r>
      <w:r w:rsidR="0071149A" w:rsidRPr="0071149A">
        <w:t xml:space="preserve"> v Informačno-poradenskom stredisku</w:t>
      </w:r>
      <w:r w:rsidR="00F62136">
        <w:t xml:space="preserve"> (IPS)</w:t>
      </w:r>
    </w:p>
    <w:p w:rsidR="0071149A" w:rsidRDefault="0071149A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tu sa dozviete potrebné informácie pri využívaní služieb</w:t>
      </w:r>
    </w:p>
    <w:p w:rsidR="0071149A" w:rsidRDefault="0071149A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ak sa </w:t>
      </w:r>
      <w:r w:rsidRPr="00F62136">
        <w:rPr>
          <w:u w:val="single"/>
        </w:rPr>
        <w:t>na úrad prihlásite do 7 dní</w:t>
      </w:r>
      <w:r>
        <w:t xml:space="preserve"> od ukončenia pracovného pomeru 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dostávate </w:t>
      </w:r>
      <w:r w:rsidRPr="00F62136">
        <w:rPr>
          <w:b/>
        </w:rPr>
        <w:t>status záujemcu o zamestnanie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nemusíte plniť povinnosti a práva vychádzajúce zo zákona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môžete byť v zahraničí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vzdelávať sa v rôznych kurzoch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prihlásený môžete byť na viacerých úradoch súčasne, bez ohľadu na trvalé bydlisko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stačí, ak ste s úradom iba v telefonickom kontakte</w:t>
      </w:r>
    </w:p>
    <w:p w:rsidR="0071149A" w:rsidRDefault="0071149A" w:rsidP="0071149A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druhou možnosťou je byť prihlásený na úrade ako </w:t>
      </w:r>
      <w:r w:rsidRPr="00F62136">
        <w:rPr>
          <w:b/>
        </w:rPr>
        <w:t>uchádzač o zamestnanie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vtedy sa zaväzujete dodržiavať povinnosti a práva vyplývajúce zo zákona o službách zamestnanosti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 prihlásiť sa však musíte najneskôr na 7 </w:t>
      </w:r>
      <w:r w:rsidR="00F62136">
        <w:t xml:space="preserve">kalendárny </w:t>
      </w:r>
      <w:r>
        <w:t>deň od ukončenia pracovného pomeru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 štát za vás bude nepretržite platiť </w:t>
      </w:r>
      <w:r w:rsidR="00F62136">
        <w:t xml:space="preserve">zdravotné </w:t>
      </w:r>
      <w:r>
        <w:t>poistenie</w:t>
      </w:r>
    </w:p>
    <w:p w:rsidR="00F62136" w:rsidRDefault="00F62136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Vašou povinnosťou je nahlásiť zaradenie do evidencie Vašej zdravotnej poisťovni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zamestnanci úradu vás zaradia do rôznych podporných nástrojov zamestnanosti</w:t>
      </w:r>
    </w:p>
    <w:p w:rsidR="00F62136" w:rsidRPr="0071149A" w:rsidRDefault="00F62136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môže sa jednať o absolventskú prax, rekvalifikačné kurzy, školenia</w:t>
      </w:r>
    </w:p>
    <w:p w:rsidR="00621A7B" w:rsidRPr="007F1C4F" w:rsidRDefault="00621A7B" w:rsidP="00621A7B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553EB7" w:rsidRDefault="00F62136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D23571">
        <w:lastRenderedPageBreak/>
        <w:t xml:space="preserve">Strata zamestnania je určite stresujúcou situáciou pre každého z nás – hoci podmienky nie sú ideálne nadstavené, aby zodpovedali životnej úrovni, štát zabezpečuje rôzne príspevky. </w:t>
      </w:r>
    </w:p>
    <w:p w:rsidR="0040199C" w:rsidRDefault="00F62136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D23571">
        <w:t>Či už v zamestnaní alebo bez neho, máme nárok na určité príspevky od štátu, často však o tom ani nevieme. Preto je dobré neleniť a pozisťovať si všetky možnosti.</w:t>
      </w: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22316A" w:rsidRDefault="004C0319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9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553EB7">
                    <w:rPr>
                      <w:b/>
                    </w:rPr>
                    <w:t>09</w:t>
                  </w:r>
                  <w:r w:rsidRPr="00EC0000">
                    <w:rPr>
                      <w:b/>
                    </w:rPr>
                    <w:t>. 1</w:t>
                  </w:r>
                  <w:r w:rsidR="00553EB7">
                    <w:rPr>
                      <w:b/>
                    </w:rPr>
                    <w:t>2</w:t>
                  </w:r>
                  <w:r w:rsidRPr="00EC0000">
                    <w:rPr>
                      <w:b/>
                    </w:rPr>
                    <w:t>.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8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30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553EB7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Vyhľadajte na internete, aké príspevky od štátu môžete dostávať od štátu.</w:t>
      </w:r>
    </w:p>
    <w:p w:rsidR="00EC0000" w:rsidRPr="00D82ADE" w:rsidRDefault="00553EB7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vypíšte podmienky, za akých je možné dostávať príspevky.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7C0"/>
      </v:shape>
    </w:pict>
  </w:numPicBullet>
  <w:numPicBullet w:numPicBulletId="1">
    <w:pict>
      <v:shape id="_x0000_i1054" type="#_x0000_t75" style="width:11.25pt;height:11.25pt" o:bullet="t">
        <v:imagedata r:id="rId2" o:title="BD10264_"/>
      </v:shape>
    </w:pict>
  </w:numPicBullet>
  <w:numPicBullet w:numPicBulletId="2">
    <w:pict>
      <v:shape id="_x0000_i1058" type="#_x0000_t75" style="width:11.25pt;height:11.25pt" o:bullet="t">
        <v:imagedata r:id="rId3" o:title="BD14691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508DB"/>
    <w:multiLevelType w:val="hybridMultilevel"/>
    <w:tmpl w:val="2B3604A4"/>
    <w:lvl w:ilvl="0" w:tplc="609A6CE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E72D24"/>
    <w:multiLevelType w:val="hybridMultilevel"/>
    <w:tmpl w:val="EA9CFA7A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907AF"/>
    <w:multiLevelType w:val="hybridMultilevel"/>
    <w:tmpl w:val="C4A6C428"/>
    <w:lvl w:ilvl="0" w:tplc="58400F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955FC"/>
    <w:multiLevelType w:val="hybridMultilevel"/>
    <w:tmpl w:val="13D08CD2"/>
    <w:lvl w:ilvl="0" w:tplc="37AE5BA2">
      <w:start w:val="1"/>
      <w:numFmt w:val="bullet"/>
      <w:lvlText w:val=""/>
      <w:lvlPicBulletId w:val="1"/>
      <w:lvlJc w:val="left"/>
      <w:pPr>
        <w:ind w:left="1894" w:hanging="360"/>
      </w:pPr>
      <w:rPr>
        <w:rFonts w:ascii="Symbol" w:hAnsi="Symbol" w:hint="default"/>
        <w:color w:val="auto"/>
      </w:rPr>
    </w:lvl>
    <w:lvl w:ilvl="1" w:tplc="E402DE20">
      <w:numFmt w:val="bullet"/>
      <w:lvlText w:val="-"/>
      <w:lvlJc w:val="left"/>
      <w:pPr>
        <w:ind w:left="2614" w:hanging="360"/>
      </w:pPr>
      <w:rPr>
        <w:rFonts w:ascii="Times New Roman" w:eastAsia="CIDFont+F2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8">
    <w:nsid w:val="2E680CE1"/>
    <w:multiLevelType w:val="hybridMultilevel"/>
    <w:tmpl w:val="B56EF2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D21994"/>
    <w:multiLevelType w:val="hybridMultilevel"/>
    <w:tmpl w:val="05FE3A8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E01C24"/>
    <w:multiLevelType w:val="hybridMultilevel"/>
    <w:tmpl w:val="764E06D0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C2FF3"/>
    <w:multiLevelType w:val="multilevel"/>
    <w:tmpl w:val="9664F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4C4FC2"/>
    <w:multiLevelType w:val="multilevel"/>
    <w:tmpl w:val="806A0B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40639D"/>
    <w:multiLevelType w:val="hybridMultilevel"/>
    <w:tmpl w:val="A71EC71E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23"/>
  </w:num>
  <w:num w:numId="4">
    <w:abstractNumId w:val="6"/>
  </w:num>
  <w:num w:numId="5">
    <w:abstractNumId w:val="25"/>
  </w:num>
  <w:num w:numId="6">
    <w:abstractNumId w:val="37"/>
  </w:num>
  <w:num w:numId="7">
    <w:abstractNumId w:val="13"/>
  </w:num>
  <w:num w:numId="8">
    <w:abstractNumId w:val="12"/>
  </w:num>
  <w:num w:numId="9">
    <w:abstractNumId w:val="24"/>
  </w:num>
  <w:num w:numId="10">
    <w:abstractNumId w:val="33"/>
  </w:num>
  <w:num w:numId="11">
    <w:abstractNumId w:val="2"/>
  </w:num>
  <w:num w:numId="12">
    <w:abstractNumId w:val="19"/>
  </w:num>
  <w:num w:numId="13">
    <w:abstractNumId w:val="4"/>
  </w:num>
  <w:num w:numId="14">
    <w:abstractNumId w:val="28"/>
  </w:num>
  <w:num w:numId="15">
    <w:abstractNumId w:val="21"/>
  </w:num>
  <w:num w:numId="16">
    <w:abstractNumId w:val="5"/>
  </w:num>
  <w:num w:numId="17">
    <w:abstractNumId w:val="22"/>
  </w:num>
  <w:num w:numId="18">
    <w:abstractNumId w:val="41"/>
  </w:num>
  <w:num w:numId="19">
    <w:abstractNumId w:val="0"/>
  </w:num>
  <w:num w:numId="20">
    <w:abstractNumId w:val="31"/>
  </w:num>
  <w:num w:numId="21">
    <w:abstractNumId w:val="7"/>
  </w:num>
  <w:num w:numId="22">
    <w:abstractNumId w:val="39"/>
  </w:num>
  <w:num w:numId="23">
    <w:abstractNumId w:val="42"/>
  </w:num>
  <w:num w:numId="24">
    <w:abstractNumId w:val="38"/>
  </w:num>
  <w:num w:numId="25">
    <w:abstractNumId w:val="14"/>
  </w:num>
  <w:num w:numId="26">
    <w:abstractNumId w:val="26"/>
  </w:num>
  <w:num w:numId="27">
    <w:abstractNumId w:val="40"/>
  </w:num>
  <w:num w:numId="28">
    <w:abstractNumId w:val="1"/>
  </w:num>
  <w:num w:numId="29">
    <w:abstractNumId w:val="16"/>
  </w:num>
  <w:num w:numId="30">
    <w:abstractNumId w:val="34"/>
  </w:num>
  <w:num w:numId="31">
    <w:abstractNumId w:val="32"/>
  </w:num>
  <w:num w:numId="32">
    <w:abstractNumId w:val="27"/>
  </w:num>
  <w:num w:numId="33">
    <w:abstractNumId w:val="10"/>
  </w:num>
  <w:num w:numId="34">
    <w:abstractNumId w:val="3"/>
  </w:num>
  <w:num w:numId="35">
    <w:abstractNumId w:val="17"/>
  </w:num>
  <w:num w:numId="36">
    <w:abstractNumId w:val="20"/>
  </w:num>
  <w:num w:numId="37">
    <w:abstractNumId w:val="35"/>
  </w:num>
  <w:num w:numId="38">
    <w:abstractNumId w:val="18"/>
  </w:num>
  <w:num w:numId="39">
    <w:abstractNumId w:val="30"/>
  </w:num>
  <w:num w:numId="40">
    <w:abstractNumId w:val="9"/>
  </w:num>
  <w:num w:numId="41">
    <w:abstractNumId w:val="29"/>
  </w:num>
  <w:num w:numId="42">
    <w:abstractNumId w:val="15"/>
  </w:num>
  <w:num w:numId="43">
    <w:abstractNumId w:val="11"/>
  </w:num>
  <w:num w:numId="44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63748"/>
    <w:rsid w:val="00080A74"/>
    <w:rsid w:val="00092E60"/>
    <w:rsid w:val="000B3521"/>
    <w:rsid w:val="00114267"/>
    <w:rsid w:val="001165DA"/>
    <w:rsid w:val="00123F56"/>
    <w:rsid w:val="00155BA5"/>
    <w:rsid w:val="00176E57"/>
    <w:rsid w:val="001945AB"/>
    <w:rsid w:val="001B365D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0199C"/>
    <w:rsid w:val="00465B83"/>
    <w:rsid w:val="0047092A"/>
    <w:rsid w:val="004A3183"/>
    <w:rsid w:val="004C0319"/>
    <w:rsid w:val="004C45B6"/>
    <w:rsid w:val="00552D5F"/>
    <w:rsid w:val="00553EB7"/>
    <w:rsid w:val="005A3CF5"/>
    <w:rsid w:val="005E5A64"/>
    <w:rsid w:val="00621A7B"/>
    <w:rsid w:val="006465F3"/>
    <w:rsid w:val="00683421"/>
    <w:rsid w:val="006D25A3"/>
    <w:rsid w:val="0071149A"/>
    <w:rsid w:val="00713336"/>
    <w:rsid w:val="0072284E"/>
    <w:rsid w:val="007B1CFE"/>
    <w:rsid w:val="007C26FC"/>
    <w:rsid w:val="007E236B"/>
    <w:rsid w:val="007F1C4F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465AA"/>
    <w:rsid w:val="00D82ADE"/>
    <w:rsid w:val="00D9266E"/>
    <w:rsid w:val="00DD236F"/>
    <w:rsid w:val="00E06ED6"/>
    <w:rsid w:val="00E12D81"/>
    <w:rsid w:val="00E74D72"/>
    <w:rsid w:val="00E77DE6"/>
    <w:rsid w:val="00EC0000"/>
    <w:rsid w:val="00ED2450"/>
    <w:rsid w:val="00EF071C"/>
    <w:rsid w:val="00EF5087"/>
    <w:rsid w:val="00F07180"/>
    <w:rsid w:val="00F1090F"/>
    <w:rsid w:val="00F62136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2D1BD-3F45-4364-9FE5-7A4F5CD6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2020-12-07T10:21:00Z</dcterms:created>
  <dcterms:modified xsi:type="dcterms:W3CDTF">2020-12-07T10:21:00Z</dcterms:modified>
</cp:coreProperties>
</file>