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094" w:rsidRDefault="00087D29">
      <w:r w:rsidRPr="00087D29">
        <w:drawing>
          <wp:inline distT="0" distB="0" distL="0" distR="0">
            <wp:extent cx="4419600" cy="2343150"/>
            <wp:effectExtent l="19050" t="0" r="19050" b="0"/>
            <wp:docPr id="3" name="Graf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087D29" w:rsidRDefault="00087D29"/>
    <w:p w:rsidR="00087D29" w:rsidRDefault="00087D29">
      <w:r w:rsidRPr="00087D29">
        <w:drawing>
          <wp:inline distT="0" distB="0" distL="0" distR="0">
            <wp:extent cx="4419600" cy="2343150"/>
            <wp:effectExtent l="19050" t="0" r="19050" b="0"/>
            <wp:docPr id="1" name="Graf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87D29" w:rsidRDefault="00087D29"/>
    <w:p w:rsidR="00087D29" w:rsidRDefault="00087D29">
      <w:r w:rsidRPr="00087D29">
        <w:drawing>
          <wp:inline distT="0" distB="0" distL="0" distR="0">
            <wp:extent cx="4419600" cy="2343150"/>
            <wp:effectExtent l="19050" t="0" r="19050" b="0"/>
            <wp:docPr id="2" name="Graf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87D29" w:rsidRDefault="00087D29">
      <w:r w:rsidRPr="00087D29">
        <w:drawing>
          <wp:inline distT="0" distB="0" distL="0" distR="0">
            <wp:extent cx="4419600" cy="2343150"/>
            <wp:effectExtent l="19050" t="0" r="19050" b="0"/>
            <wp:docPr id="5" name="Graf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87D29" w:rsidRDefault="00087D29"/>
    <w:p w:rsidR="00087D29" w:rsidRDefault="00087D29">
      <w:r w:rsidRPr="00087D29">
        <w:drawing>
          <wp:inline distT="0" distB="0" distL="0" distR="0">
            <wp:extent cx="4419600" cy="2343150"/>
            <wp:effectExtent l="19050" t="0" r="19050" b="0"/>
            <wp:docPr id="6" name="Graf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87D29" w:rsidRDefault="00087D29"/>
    <w:p w:rsidR="00087D29" w:rsidRDefault="00087D29">
      <w:r w:rsidRPr="00087D29">
        <w:drawing>
          <wp:inline distT="0" distB="0" distL="0" distR="0">
            <wp:extent cx="4419600" cy="2343150"/>
            <wp:effectExtent l="19050" t="0" r="19050" b="0"/>
            <wp:docPr id="7" name="Graf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087D29" w:rsidRDefault="00087D29"/>
    <w:sectPr w:rsidR="00087D29" w:rsidSect="00F200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hyphenationZone w:val="425"/>
  <w:characterSpacingControl w:val="doNotCompress"/>
  <w:compat/>
  <w:rsids>
    <w:rsidRoot w:val="00087D29"/>
    <w:rsid w:val="00087D29"/>
    <w:rsid w:val="00F20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2009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87D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87D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Zo&#353;it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Zo&#353;it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Zo&#353;it1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Zo&#353;it1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Zo&#353;it1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Zo&#353;it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sk-SK"/>
  <c:chart>
    <c:title>
      <c:tx>
        <c:rich>
          <a:bodyPr/>
          <a:lstStyle/>
          <a:p>
            <a:pPr>
              <a:defRPr/>
            </a:pPr>
            <a:r>
              <a:rPr lang="en-US"/>
              <a:t>Rieky na</a:t>
            </a:r>
            <a:r>
              <a:rPr lang="sk-SK"/>
              <a:t> </a:t>
            </a:r>
            <a:r>
              <a:rPr lang="en-US"/>
              <a:t>území SR</a:t>
            </a:r>
          </a:p>
        </c:rich>
      </c:tx>
      <c:layout/>
    </c:title>
    <c:plotArea>
      <c:layout/>
      <c:barChart>
        <c:barDir val="col"/>
        <c:grouping val="clustered"/>
        <c:ser>
          <c:idx val="0"/>
          <c:order val="0"/>
          <c:tx>
            <c:strRef>
              <c:f>Hárok1!$C$1</c:f>
              <c:strCache>
                <c:ptCount val="1"/>
                <c:pt idx="0">
                  <c:v>dĺžka v km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showVal val="1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Hárok1!$B$2:$B$11</c:f>
              <c:strCache>
                <c:ptCount val="10"/>
                <c:pt idx="0">
                  <c:v>Váh</c:v>
                </c:pt>
                <c:pt idx="1">
                  <c:v>Dunaj</c:v>
                </c:pt>
                <c:pt idx="2">
                  <c:v>Morava</c:v>
                </c:pt>
                <c:pt idx="3">
                  <c:v>Nitra</c:v>
                </c:pt>
                <c:pt idx="4">
                  <c:v>Hron</c:v>
                </c:pt>
                <c:pt idx="5">
                  <c:v>Ipeľ</c:v>
                </c:pt>
                <c:pt idx="6">
                  <c:v>Slaná </c:v>
                </c:pt>
                <c:pt idx="7">
                  <c:v>Hornád</c:v>
                </c:pt>
                <c:pt idx="8">
                  <c:v>Torysa</c:v>
                </c:pt>
                <c:pt idx="9">
                  <c:v>Hnilec</c:v>
                </c:pt>
              </c:strCache>
            </c:strRef>
          </c:cat>
          <c:val>
            <c:numRef>
              <c:f>Hárok1!$C$2:$C$11</c:f>
              <c:numCache>
                <c:formatCode>General</c:formatCode>
                <c:ptCount val="10"/>
                <c:pt idx="0">
                  <c:v>403</c:v>
                </c:pt>
                <c:pt idx="1">
                  <c:v>172</c:v>
                </c:pt>
                <c:pt idx="2">
                  <c:v>119</c:v>
                </c:pt>
                <c:pt idx="3">
                  <c:v>197</c:v>
                </c:pt>
                <c:pt idx="4">
                  <c:v>298</c:v>
                </c:pt>
                <c:pt idx="5">
                  <c:v>232</c:v>
                </c:pt>
                <c:pt idx="6">
                  <c:v>110</c:v>
                </c:pt>
                <c:pt idx="7">
                  <c:v>193</c:v>
                </c:pt>
                <c:pt idx="8">
                  <c:v>129</c:v>
                </c:pt>
                <c:pt idx="9">
                  <c:v>89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14F3-4804-B335-89E6979AFFFC}"/>
            </c:ext>
          </c:extLst>
        </c:ser>
        <c:axId val="134206208"/>
        <c:axId val="134459776"/>
      </c:barChart>
      <c:catAx>
        <c:axId val="134206208"/>
        <c:scaling>
          <c:orientation val="minMax"/>
        </c:scaling>
        <c:axPos val="b"/>
        <c:numFmt formatCode="General" sourceLinked="0"/>
        <c:tickLblPos val="nextTo"/>
        <c:crossAx val="134459776"/>
        <c:crosses val="autoZero"/>
        <c:auto val="1"/>
        <c:lblAlgn val="ctr"/>
        <c:lblOffset val="100"/>
      </c:catAx>
      <c:valAx>
        <c:axId val="134459776"/>
        <c:scaling>
          <c:orientation val="minMax"/>
        </c:scaling>
        <c:axPos val="l"/>
        <c:majorGridlines/>
        <c:numFmt formatCode="General" sourceLinked="1"/>
        <c:tickLblPos val="nextTo"/>
        <c:crossAx val="134206208"/>
        <c:crosses val="autoZero"/>
        <c:crossBetween val="between"/>
      </c:valAx>
    </c:plotArea>
    <c:legend>
      <c:legendPos val="r"/>
      <c:layout/>
    </c:legend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sk-SK"/>
  <c:chart>
    <c:title>
      <c:tx>
        <c:rich>
          <a:bodyPr/>
          <a:lstStyle/>
          <a:p>
            <a:pPr>
              <a:defRPr/>
            </a:pPr>
            <a:r>
              <a:rPr lang="en-US"/>
              <a:t>Rieky na</a:t>
            </a:r>
            <a:r>
              <a:rPr lang="sk-SK"/>
              <a:t> </a:t>
            </a:r>
            <a:r>
              <a:rPr lang="en-US"/>
              <a:t>území SR</a:t>
            </a:r>
          </a:p>
        </c:rich>
      </c:tx>
      <c:layout/>
    </c:title>
    <c:plotArea>
      <c:layout/>
      <c:barChart>
        <c:barDir val="col"/>
        <c:grouping val="clustered"/>
        <c:ser>
          <c:idx val="0"/>
          <c:order val="0"/>
          <c:tx>
            <c:strRef>
              <c:f>Hárok1!$C$1</c:f>
              <c:strCache>
                <c:ptCount val="1"/>
                <c:pt idx="0">
                  <c:v>dĺžka v km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showVal val="1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Hárok1!$B$2:$B$11</c:f>
              <c:strCache>
                <c:ptCount val="10"/>
                <c:pt idx="0">
                  <c:v>Váh</c:v>
                </c:pt>
                <c:pt idx="1">
                  <c:v>Dunaj</c:v>
                </c:pt>
                <c:pt idx="2">
                  <c:v>Morava</c:v>
                </c:pt>
                <c:pt idx="3">
                  <c:v>Nitra</c:v>
                </c:pt>
                <c:pt idx="4">
                  <c:v>Hron</c:v>
                </c:pt>
                <c:pt idx="5">
                  <c:v>Ipeľ</c:v>
                </c:pt>
                <c:pt idx="6">
                  <c:v>Slaná </c:v>
                </c:pt>
                <c:pt idx="7">
                  <c:v>Hornád</c:v>
                </c:pt>
                <c:pt idx="8">
                  <c:v>Torysa</c:v>
                </c:pt>
                <c:pt idx="9">
                  <c:v>Hnilec</c:v>
                </c:pt>
              </c:strCache>
            </c:strRef>
          </c:cat>
          <c:val>
            <c:numRef>
              <c:f>Hárok1!$C$2:$C$11</c:f>
              <c:numCache>
                <c:formatCode>General</c:formatCode>
                <c:ptCount val="10"/>
                <c:pt idx="0">
                  <c:v>403</c:v>
                </c:pt>
                <c:pt idx="1">
                  <c:v>172</c:v>
                </c:pt>
                <c:pt idx="2">
                  <c:v>119</c:v>
                </c:pt>
                <c:pt idx="3">
                  <c:v>197</c:v>
                </c:pt>
                <c:pt idx="4">
                  <c:v>298</c:v>
                </c:pt>
                <c:pt idx="5">
                  <c:v>232</c:v>
                </c:pt>
                <c:pt idx="6">
                  <c:v>110</c:v>
                </c:pt>
                <c:pt idx="7">
                  <c:v>193</c:v>
                </c:pt>
                <c:pt idx="8">
                  <c:v>129</c:v>
                </c:pt>
                <c:pt idx="9">
                  <c:v>89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14F3-4804-B335-89E6979AFFFC}"/>
            </c:ext>
          </c:extLst>
        </c:ser>
        <c:axId val="138380032"/>
        <c:axId val="138381568"/>
      </c:barChart>
      <c:catAx>
        <c:axId val="138380032"/>
        <c:scaling>
          <c:orientation val="minMax"/>
        </c:scaling>
        <c:axPos val="b"/>
        <c:numFmt formatCode="General" sourceLinked="0"/>
        <c:tickLblPos val="nextTo"/>
        <c:crossAx val="138381568"/>
        <c:crosses val="autoZero"/>
        <c:auto val="1"/>
        <c:lblAlgn val="ctr"/>
        <c:lblOffset val="100"/>
      </c:catAx>
      <c:valAx>
        <c:axId val="138381568"/>
        <c:scaling>
          <c:orientation val="minMax"/>
        </c:scaling>
        <c:axPos val="l"/>
        <c:majorGridlines/>
        <c:numFmt formatCode="General" sourceLinked="1"/>
        <c:tickLblPos val="nextTo"/>
        <c:crossAx val="138380032"/>
        <c:crosses val="autoZero"/>
        <c:crossBetween val="between"/>
      </c:valAx>
    </c:plotArea>
    <c:legend>
      <c:legendPos val="r"/>
      <c:layout/>
    </c:legend>
    <c:plotVisOnly val="1"/>
    <c:dispBlanksAs val="gap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sk-SK"/>
  <c:chart>
    <c:title>
      <c:tx>
        <c:rich>
          <a:bodyPr/>
          <a:lstStyle/>
          <a:p>
            <a:pPr>
              <a:defRPr/>
            </a:pPr>
            <a:r>
              <a:rPr lang="en-US"/>
              <a:t>Rieky na</a:t>
            </a:r>
            <a:r>
              <a:rPr lang="sk-SK"/>
              <a:t> </a:t>
            </a:r>
            <a:r>
              <a:rPr lang="en-US"/>
              <a:t>území SR</a:t>
            </a:r>
          </a:p>
        </c:rich>
      </c:tx>
      <c:layout/>
    </c:title>
    <c:plotArea>
      <c:layout/>
      <c:barChart>
        <c:barDir val="col"/>
        <c:grouping val="clustered"/>
        <c:ser>
          <c:idx val="0"/>
          <c:order val="0"/>
          <c:tx>
            <c:strRef>
              <c:f>Hárok1!$C$1</c:f>
              <c:strCache>
                <c:ptCount val="1"/>
                <c:pt idx="0">
                  <c:v>dĺžka v km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showVal val="1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Hárok1!$B$2:$B$11</c:f>
              <c:strCache>
                <c:ptCount val="10"/>
                <c:pt idx="0">
                  <c:v>Váh</c:v>
                </c:pt>
                <c:pt idx="1">
                  <c:v>Dunaj</c:v>
                </c:pt>
                <c:pt idx="2">
                  <c:v>Morava</c:v>
                </c:pt>
                <c:pt idx="3">
                  <c:v>Nitra</c:v>
                </c:pt>
                <c:pt idx="4">
                  <c:v>Hron</c:v>
                </c:pt>
                <c:pt idx="5">
                  <c:v>Ipeľ</c:v>
                </c:pt>
                <c:pt idx="6">
                  <c:v>Slaná </c:v>
                </c:pt>
                <c:pt idx="7">
                  <c:v>Hornád</c:v>
                </c:pt>
                <c:pt idx="8">
                  <c:v>Torysa</c:v>
                </c:pt>
                <c:pt idx="9">
                  <c:v>Hnilec</c:v>
                </c:pt>
              </c:strCache>
            </c:strRef>
          </c:cat>
          <c:val>
            <c:numRef>
              <c:f>Hárok1!$C$2:$C$11</c:f>
              <c:numCache>
                <c:formatCode>General</c:formatCode>
                <c:ptCount val="10"/>
                <c:pt idx="0">
                  <c:v>403</c:v>
                </c:pt>
                <c:pt idx="1">
                  <c:v>172</c:v>
                </c:pt>
                <c:pt idx="2">
                  <c:v>119</c:v>
                </c:pt>
                <c:pt idx="3">
                  <c:v>197</c:v>
                </c:pt>
                <c:pt idx="4">
                  <c:v>298</c:v>
                </c:pt>
                <c:pt idx="5">
                  <c:v>232</c:v>
                </c:pt>
                <c:pt idx="6">
                  <c:v>110</c:v>
                </c:pt>
                <c:pt idx="7">
                  <c:v>193</c:v>
                </c:pt>
                <c:pt idx="8">
                  <c:v>129</c:v>
                </c:pt>
                <c:pt idx="9">
                  <c:v>89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14F3-4804-B335-89E6979AFFFC}"/>
            </c:ext>
          </c:extLst>
        </c:ser>
        <c:axId val="150605184"/>
        <c:axId val="150640896"/>
      </c:barChart>
      <c:catAx>
        <c:axId val="150605184"/>
        <c:scaling>
          <c:orientation val="minMax"/>
        </c:scaling>
        <c:axPos val="b"/>
        <c:numFmt formatCode="General" sourceLinked="0"/>
        <c:tickLblPos val="nextTo"/>
        <c:crossAx val="150640896"/>
        <c:crosses val="autoZero"/>
        <c:auto val="1"/>
        <c:lblAlgn val="ctr"/>
        <c:lblOffset val="100"/>
      </c:catAx>
      <c:valAx>
        <c:axId val="150640896"/>
        <c:scaling>
          <c:orientation val="minMax"/>
        </c:scaling>
        <c:axPos val="l"/>
        <c:majorGridlines/>
        <c:numFmt formatCode="General" sourceLinked="1"/>
        <c:tickLblPos val="nextTo"/>
        <c:crossAx val="150605184"/>
        <c:crosses val="autoZero"/>
        <c:crossBetween val="between"/>
      </c:valAx>
    </c:plotArea>
    <c:legend>
      <c:legendPos val="r"/>
      <c:layout/>
    </c:legend>
    <c:plotVisOnly val="1"/>
    <c:dispBlanksAs val="gap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sk-SK"/>
  <c:chart>
    <c:title>
      <c:tx>
        <c:rich>
          <a:bodyPr/>
          <a:lstStyle/>
          <a:p>
            <a:pPr>
              <a:defRPr/>
            </a:pPr>
            <a:r>
              <a:rPr lang="en-US"/>
              <a:t>Rieky na</a:t>
            </a:r>
            <a:r>
              <a:rPr lang="sk-SK"/>
              <a:t> </a:t>
            </a:r>
            <a:r>
              <a:rPr lang="en-US"/>
              <a:t>území SR</a:t>
            </a:r>
          </a:p>
        </c:rich>
      </c:tx>
      <c:layout/>
    </c:title>
    <c:plotArea>
      <c:layout/>
      <c:barChart>
        <c:barDir val="col"/>
        <c:grouping val="clustered"/>
        <c:ser>
          <c:idx val="0"/>
          <c:order val="0"/>
          <c:tx>
            <c:strRef>
              <c:f>Hárok1!$C$1</c:f>
              <c:strCache>
                <c:ptCount val="1"/>
                <c:pt idx="0">
                  <c:v>dĺžka v km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showVal val="1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Hárok1!$B$2:$B$11</c:f>
              <c:strCache>
                <c:ptCount val="10"/>
                <c:pt idx="0">
                  <c:v>Váh</c:v>
                </c:pt>
                <c:pt idx="1">
                  <c:v>Dunaj</c:v>
                </c:pt>
                <c:pt idx="2">
                  <c:v>Morava</c:v>
                </c:pt>
                <c:pt idx="3">
                  <c:v>Nitra</c:v>
                </c:pt>
                <c:pt idx="4">
                  <c:v>Hron</c:v>
                </c:pt>
                <c:pt idx="5">
                  <c:v>Ipeľ</c:v>
                </c:pt>
                <c:pt idx="6">
                  <c:v>Slaná </c:v>
                </c:pt>
                <c:pt idx="7">
                  <c:v>Hornád</c:v>
                </c:pt>
                <c:pt idx="8">
                  <c:v>Torysa</c:v>
                </c:pt>
                <c:pt idx="9">
                  <c:v>Hnilec</c:v>
                </c:pt>
              </c:strCache>
            </c:strRef>
          </c:cat>
          <c:val>
            <c:numRef>
              <c:f>Hárok1!$C$2:$C$11</c:f>
              <c:numCache>
                <c:formatCode>General</c:formatCode>
                <c:ptCount val="10"/>
                <c:pt idx="0">
                  <c:v>403</c:v>
                </c:pt>
                <c:pt idx="1">
                  <c:v>172</c:v>
                </c:pt>
                <c:pt idx="2">
                  <c:v>119</c:v>
                </c:pt>
                <c:pt idx="3">
                  <c:v>197</c:v>
                </c:pt>
                <c:pt idx="4">
                  <c:v>298</c:v>
                </c:pt>
                <c:pt idx="5">
                  <c:v>232</c:v>
                </c:pt>
                <c:pt idx="6">
                  <c:v>110</c:v>
                </c:pt>
                <c:pt idx="7">
                  <c:v>193</c:v>
                </c:pt>
                <c:pt idx="8">
                  <c:v>129</c:v>
                </c:pt>
                <c:pt idx="9">
                  <c:v>89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14F3-4804-B335-89E6979AFFFC}"/>
            </c:ext>
          </c:extLst>
        </c:ser>
        <c:axId val="150663552"/>
        <c:axId val="150665088"/>
      </c:barChart>
      <c:catAx>
        <c:axId val="150663552"/>
        <c:scaling>
          <c:orientation val="minMax"/>
        </c:scaling>
        <c:axPos val="b"/>
        <c:numFmt formatCode="General" sourceLinked="0"/>
        <c:tickLblPos val="nextTo"/>
        <c:crossAx val="150665088"/>
        <c:crosses val="autoZero"/>
        <c:auto val="1"/>
        <c:lblAlgn val="ctr"/>
        <c:lblOffset val="100"/>
      </c:catAx>
      <c:valAx>
        <c:axId val="150665088"/>
        <c:scaling>
          <c:orientation val="minMax"/>
        </c:scaling>
        <c:axPos val="l"/>
        <c:majorGridlines/>
        <c:numFmt formatCode="General" sourceLinked="1"/>
        <c:tickLblPos val="nextTo"/>
        <c:crossAx val="150663552"/>
        <c:crosses val="autoZero"/>
        <c:crossBetween val="between"/>
      </c:valAx>
    </c:plotArea>
    <c:legend>
      <c:legendPos val="r"/>
      <c:layout/>
    </c:legend>
    <c:plotVisOnly val="1"/>
    <c:dispBlanksAs val="gap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sk-SK"/>
  <c:chart>
    <c:title>
      <c:tx>
        <c:rich>
          <a:bodyPr/>
          <a:lstStyle/>
          <a:p>
            <a:pPr>
              <a:defRPr/>
            </a:pPr>
            <a:r>
              <a:rPr lang="en-US"/>
              <a:t>Rieky na</a:t>
            </a:r>
            <a:r>
              <a:rPr lang="sk-SK"/>
              <a:t> </a:t>
            </a:r>
            <a:r>
              <a:rPr lang="en-US"/>
              <a:t>území SR</a:t>
            </a:r>
          </a:p>
        </c:rich>
      </c:tx>
      <c:layout/>
    </c:title>
    <c:plotArea>
      <c:layout/>
      <c:barChart>
        <c:barDir val="col"/>
        <c:grouping val="clustered"/>
        <c:ser>
          <c:idx val="0"/>
          <c:order val="0"/>
          <c:tx>
            <c:strRef>
              <c:f>Hárok1!$C$1</c:f>
              <c:strCache>
                <c:ptCount val="1"/>
                <c:pt idx="0">
                  <c:v>dĺžka v km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showVal val="1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Hárok1!$B$2:$B$11</c:f>
              <c:strCache>
                <c:ptCount val="10"/>
                <c:pt idx="0">
                  <c:v>Váh</c:v>
                </c:pt>
                <c:pt idx="1">
                  <c:v>Dunaj</c:v>
                </c:pt>
                <c:pt idx="2">
                  <c:v>Morava</c:v>
                </c:pt>
                <c:pt idx="3">
                  <c:v>Nitra</c:v>
                </c:pt>
                <c:pt idx="4">
                  <c:v>Hron</c:v>
                </c:pt>
                <c:pt idx="5">
                  <c:v>Ipeľ</c:v>
                </c:pt>
                <c:pt idx="6">
                  <c:v>Slaná </c:v>
                </c:pt>
                <c:pt idx="7">
                  <c:v>Hornád</c:v>
                </c:pt>
                <c:pt idx="8">
                  <c:v>Torysa</c:v>
                </c:pt>
                <c:pt idx="9">
                  <c:v>Hnilec</c:v>
                </c:pt>
              </c:strCache>
            </c:strRef>
          </c:cat>
          <c:val>
            <c:numRef>
              <c:f>Hárok1!$C$2:$C$11</c:f>
              <c:numCache>
                <c:formatCode>General</c:formatCode>
                <c:ptCount val="10"/>
                <c:pt idx="0">
                  <c:v>403</c:v>
                </c:pt>
                <c:pt idx="1">
                  <c:v>172</c:v>
                </c:pt>
                <c:pt idx="2">
                  <c:v>119</c:v>
                </c:pt>
                <c:pt idx="3">
                  <c:v>197</c:v>
                </c:pt>
                <c:pt idx="4">
                  <c:v>298</c:v>
                </c:pt>
                <c:pt idx="5">
                  <c:v>232</c:v>
                </c:pt>
                <c:pt idx="6">
                  <c:v>110</c:v>
                </c:pt>
                <c:pt idx="7">
                  <c:v>193</c:v>
                </c:pt>
                <c:pt idx="8">
                  <c:v>129</c:v>
                </c:pt>
                <c:pt idx="9">
                  <c:v>89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14F3-4804-B335-89E6979AFFFC}"/>
            </c:ext>
          </c:extLst>
        </c:ser>
        <c:axId val="151394560"/>
        <c:axId val="151527424"/>
      </c:barChart>
      <c:catAx>
        <c:axId val="151394560"/>
        <c:scaling>
          <c:orientation val="minMax"/>
        </c:scaling>
        <c:axPos val="b"/>
        <c:numFmt formatCode="General" sourceLinked="0"/>
        <c:tickLblPos val="nextTo"/>
        <c:crossAx val="151527424"/>
        <c:crosses val="autoZero"/>
        <c:auto val="1"/>
        <c:lblAlgn val="ctr"/>
        <c:lblOffset val="100"/>
      </c:catAx>
      <c:valAx>
        <c:axId val="151527424"/>
        <c:scaling>
          <c:orientation val="minMax"/>
        </c:scaling>
        <c:axPos val="l"/>
        <c:majorGridlines/>
        <c:numFmt formatCode="General" sourceLinked="1"/>
        <c:tickLblPos val="nextTo"/>
        <c:crossAx val="151394560"/>
        <c:crosses val="autoZero"/>
        <c:crossBetween val="between"/>
      </c:valAx>
    </c:plotArea>
    <c:legend>
      <c:legendPos val="r"/>
      <c:layout/>
    </c:legend>
    <c:plotVisOnly val="1"/>
    <c:dispBlanksAs val="gap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sk-SK"/>
  <c:chart>
    <c:title>
      <c:tx>
        <c:rich>
          <a:bodyPr/>
          <a:lstStyle/>
          <a:p>
            <a:pPr>
              <a:defRPr/>
            </a:pPr>
            <a:r>
              <a:rPr lang="en-US"/>
              <a:t>Rieky na</a:t>
            </a:r>
            <a:r>
              <a:rPr lang="sk-SK"/>
              <a:t> </a:t>
            </a:r>
            <a:r>
              <a:rPr lang="en-US"/>
              <a:t>území SR</a:t>
            </a:r>
          </a:p>
        </c:rich>
      </c:tx>
      <c:layout/>
    </c:title>
    <c:plotArea>
      <c:layout/>
      <c:barChart>
        <c:barDir val="col"/>
        <c:grouping val="clustered"/>
        <c:ser>
          <c:idx val="0"/>
          <c:order val="0"/>
          <c:tx>
            <c:strRef>
              <c:f>Hárok1!$C$1</c:f>
              <c:strCache>
                <c:ptCount val="1"/>
                <c:pt idx="0">
                  <c:v>dĺžka v km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showVal val="1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Hárok1!$B$2:$B$11</c:f>
              <c:strCache>
                <c:ptCount val="10"/>
                <c:pt idx="0">
                  <c:v>Váh</c:v>
                </c:pt>
                <c:pt idx="1">
                  <c:v>Dunaj</c:v>
                </c:pt>
                <c:pt idx="2">
                  <c:v>Morava</c:v>
                </c:pt>
                <c:pt idx="3">
                  <c:v>Nitra</c:v>
                </c:pt>
                <c:pt idx="4">
                  <c:v>Hron</c:v>
                </c:pt>
                <c:pt idx="5">
                  <c:v>Ipeľ</c:v>
                </c:pt>
                <c:pt idx="6">
                  <c:v>Slaná </c:v>
                </c:pt>
                <c:pt idx="7">
                  <c:v>Hornád</c:v>
                </c:pt>
                <c:pt idx="8">
                  <c:v>Torysa</c:v>
                </c:pt>
                <c:pt idx="9">
                  <c:v>Hnilec</c:v>
                </c:pt>
              </c:strCache>
            </c:strRef>
          </c:cat>
          <c:val>
            <c:numRef>
              <c:f>Hárok1!$C$2:$C$11</c:f>
              <c:numCache>
                <c:formatCode>General</c:formatCode>
                <c:ptCount val="10"/>
                <c:pt idx="0">
                  <c:v>403</c:v>
                </c:pt>
                <c:pt idx="1">
                  <c:v>172</c:v>
                </c:pt>
                <c:pt idx="2">
                  <c:v>119</c:v>
                </c:pt>
                <c:pt idx="3">
                  <c:v>197</c:v>
                </c:pt>
                <c:pt idx="4">
                  <c:v>298</c:v>
                </c:pt>
                <c:pt idx="5">
                  <c:v>232</c:v>
                </c:pt>
                <c:pt idx="6">
                  <c:v>110</c:v>
                </c:pt>
                <c:pt idx="7">
                  <c:v>193</c:v>
                </c:pt>
                <c:pt idx="8">
                  <c:v>129</c:v>
                </c:pt>
                <c:pt idx="9">
                  <c:v>89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14F3-4804-B335-89E6979AFFFC}"/>
            </c:ext>
          </c:extLst>
        </c:ser>
        <c:axId val="151350656"/>
        <c:axId val="151458944"/>
      </c:barChart>
      <c:catAx>
        <c:axId val="151350656"/>
        <c:scaling>
          <c:orientation val="minMax"/>
        </c:scaling>
        <c:axPos val="b"/>
        <c:numFmt formatCode="General" sourceLinked="0"/>
        <c:tickLblPos val="nextTo"/>
        <c:crossAx val="151458944"/>
        <c:crosses val="autoZero"/>
        <c:auto val="1"/>
        <c:lblAlgn val="ctr"/>
        <c:lblOffset val="100"/>
      </c:catAx>
      <c:valAx>
        <c:axId val="151458944"/>
        <c:scaling>
          <c:orientation val="minMax"/>
        </c:scaling>
        <c:axPos val="l"/>
        <c:majorGridlines/>
        <c:numFmt formatCode="General" sourceLinked="1"/>
        <c:tickLblPos val="nextTo"/>
        <c:crossAx val="151350656"/>
        <c:crosses val="autoZero"/>
        <c:crossBetween val="between"/>
      </c:valAx>
    </c:plotArea>
    <c:legend>
      <c:legendPos val="r"/>
      <c:layout/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2021-05-18T05:54:00Z</cp:lastPrinted>
  <dcterms:created xsi:type="dcterms:W3CDTF">2021-05-18T05:48:00Z</dcterms:created>
  <dcterms:modified xsi:type="dcterms:W3CDTF">2021-05-18T05:56:00Z</dcterms:modified>
</cp:coreProperties>
</file>