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E9C" w:rsidRDefault="00163E9C" w:rsidP="00163E9C">
      <w:r w:rsidRPr="00163E9C">
        <w:t>Hlavným druhom protitankových mí</w:t>
      </w:r>
      <w:r>
        <w:t>n (PT Mi) používaných v ozbroje</w:t>
      </w:r>
      <w:r w:rsidRPr="00163E9C">
        <w:t>ných silách sú protitankové tlakové míny. Aktivujú</w:t>
      </w:r>
      <w:r>
        <w:t xml:space="preserve"> sa po priamom nájazde pása (ko</w:t>
      </w:r>
      <w:r w:rsidRPr="00163E9C">
        <w:t>lesa) techniky na aktivačné zariadenie</w:t>
      </w:r>
      <w:r>
        <w:t xml:space="preserve"> </w:t>
      </w:r>
    </w:p>
    <w:p w:rsidR="000E0D83" w:rsidRPr="000E0D83" w:rsidRDefault="000E0D83" w:rsidP="000E0D83">
      <w:pPr>
        <w:rPr>
          <w:b/>
          <w:color w:val="984806" w:themeColor="accent6" w:themeShade="80"/>
        </w:rPr>
      </w:pPr>
      <w:r w:rsidRPr="000E0D83">
        <w:rPr>
          <w:b/>
          <w:color w:val="984806" w:themeColor="accent6" w:themeShade="80"/>
        </w:rPr>
        <w:t>PREPNI</w:t>
      </w:r>
    </w:p>
    <w:p w:rsidR="006A3C85" w:rsidRDefault="006A3C85" w:rsidP="00163E9C">
      <w:r w:rsidRPr="006A3C85">
        <w:t>Typy tlakových PT Mi používaných v ozbrojených silách:</w:t>
      </w:r>
    </w:p>
    <w:p w:rsidR="006A3C85" w:rsidRDefault="006A3C85" w:rsidP="006A3C85">
      <w:r w:rsidRPr="006A3C85">
        <w:rPr>
          <w:color w:val="C0504D" w:themeColor="accent2"/>
        </w:rPr>
        <w:t xml:space="preserve">a) protitanková bakelitová mína PT Mi-Ba III </w:t>
      </w:r>
      <w:r>
        <w:t>-  mína sa aktivuje nájazdom na tlakový kotúč; pri výbuchu prerazí pás tanku, po-škodí jeho podvozok a tým vyradí tank z</w:t>
      </w:r>
      <w:r w:rsidR="001517BF">
        <w:t> </w:t>
      </w:r>
      <w:r>
        <w:t>boja</w:t>
      </w:r>
    </w:p>
    <w:p w:rsidR="008E5187" w:rsidRPr="001517BF" w:rsidRDefault="008B7E1B" w:rsidP="001517BF">
      <w:pPr>
        <w:numPr>
          <w:ilvl w:val="0"/>
          <w:numId w:val="3"/>
        </w:numPr>
      </w:pPr>
      <w:r w:rsidRPr="001517BF">
        <w:t xml:space="preserve">celková hmotnosť míny i s </w:t>
      </w:r>
      <w:proofErr w:type="spellStart"/>
      <w:r w:rsidRPr="001517BF">
        <w:t>roznecovačom</w:t>
      </w:r>
      <w:proofErr w:type="spellEnd"/>
      <w:r w:rsidRPr="001517BF">
        <w:t xml:space="preserve"> je 10,8 kg, </w:t>
      </w:r>
    </w:p>
    <w:p w:rsidR="008E5187" w:rsidRPr="001517BF" w:rsidRDefault="008B7E1B" w:rsidP="001517BF">
      <w:pPr>
        <w:numPr>
          <w:ilvl w:val="0"/>
          <w:numId w:val="3"/>
        </w:numPr>
      </w:pPr>
      <w:r w:rsidRPr="001517BF">
        <w:t>p</w:t>
      </w:r>
      <w:r w:rsidRPr="001517BF">
        <w:rPr>
          <w:lang w:val="nb-NO"/>
        </w:rPr>
        <w:t xml:space="preserve">riemer míny </w:t>
      </w:r>
      <w:r w:rsidRPr="001517BF">
        <w:t xml:space="preserve">je </w:t>
      </w:r>
      <w:r w:rsidRPr="001517BF">
        <w:rPr>
          <w:lang w:val="nb-NO"/>
        </w:rPr>
        <w:t xml:space="preserve"> 33 cm, </w:t>
      </w:r>
    </w:p>
    <w:p w:rsidR="008E5187" w:rsidRPr="001517BF" w:rsidRDefault="008B7E1B" w:rsidP="001517BF">
      <w:pPr>
        <w:numPr>
          <w:ilvl w:val="0"/>
          <w:numId w:val="3"/>
        </w:numPr>
      </w:pPr>
      <w:r w:rsidRPr="001517BF">
        <w:rPr>
          <w:lang w:val="pt-BR"/>
        </w:rPr>
        <w:t xml:space="preserve">aktivačná sila </w:t>
      </w:r>
      <w:r w:rsidRPr="001517BF">
        <w:t xml:space="preserve"> je </w:t>
      </w:r>
      <w:r w:rsidRPr="001517BF">
        <w:rPr>
          <w:lang w:val="pt-BR"/>
        </w:rPr>
        <w:t xml:space="preserve">2 000 až 5 000 N, </w:t>
      </w:r>
    </w:p>
    <w:p w:rsidR="000E0D83" w:rsidRPr="00BC6C9D" w:rsidRDefault="008B7E1B" w:rsidP="000E0D83">
      <w:pPr>
        <w:numPr>
          <w:ilvl w:val="0"/>
          <w:numId w:val="3"/>
        </w:numPr>
      </w:pPr>
      <w:r w:rsidRPr="001517BF">
        <w:t xml:space="preserve">odolnosť míny proti účinkom tlakovej vlny  je 1,5 MPa, </w:t>
      </w:r>
    </w:p>
    <w:p w:rsidR="006A3C85" w:rsidRDefault="006A3C85" w:rsidP="006A3C85">
      <w:r w:rsidRPr="006A3C85">
        <w:rPr>
          <w:color w:val="C0504D" w:themeColor="accent2"/>
        </w:rPr>
        <w:t xml:space="preserve">b) protitanková univerzálna mína PT </w:t>
      </w:r>
      <w:proofErr w:type="spellStart"/>
      <w:r w:rsidRPr="006A3C85">
        <w:rPr>
          <w:color w:val="C0504D" w:themeColor="accent2"/>
        </w:rPr>
        <w:t>MiU</w:t>
      </w:r>
      <w:proofErr w:type="spellEnd"/>
      <w:r w:rsidRPr="006A3C85">
        <w:rPr>
          <w:color w:val="C0504D" w:themeColor="accent2"/>
        </w:rPr>
        <w:t xml:space="preserve">  </w:t>
      </w:r>
      <w:r>
        <w:t xml:space="preserve">- používa sa ako </w:t>
      </w:r>
      <w:proofErr w:type="spellStart"/>
      <w:r>
        <w:t>protipásová</w:t>
      </w:r>
      <w:proofErr w:type="spellEnd"/>
      <w:r>
        <w:t xml:space="preserve"> tlaková mína; jednotky ozbrojených síl nesmú túto mínu používať ako </w:t>
      </w:r>
      <w:proofErr w:type="spellStart"/>
      <w:r>
        <w:t>protidnovú</w:t>
      </w:r>
      <w:proofErr w:type="spellEnd"/>
      <w:r>
        <w:t xml:space="preserve"> nárazovú mínu s tyčkovým </w:t>
      </w:r>
      <w:proofErr w:type="spellStart"/>
      <w:r>
        <w:t>roznecovačom</w:t>
      </w:r>
      <w:proofErr w:type="spellEnd"/>
      <w:r>
        <w:t>,</w:t>
      </w:r>
    </w:p>
    <w:p w:rsidR="000E0D83" w:rsidRPr="000E0D83" w:rsidRDefault="000E0D83" w:rsidP="000E0D83">
      <w:pPr>
        <w:rPr>
          <w:b/>
          <w:color w:val="984806" w:themeColor="accent6" w:themeShade="80"/>
        </w:rPr>
      </w:pPr>
      <w:r w:rsidRPr="000E0D83">
        <w:rPr>
          <w:b/>
          <w:color w:val="984806" w:themeColor="accent6" w:themeShade="80"/>
        </w:rPr>
        <w:t>PREPNI</w:t>
      </w:r>
    </w:p>
    <w:p w:rsidR="00882416" w:rsidRDefault="00C942F7" w:rsidP="00C942F7">
      <w:r>
        <w:t xml:space="preserve">b) </w:t>
      </w:r>
      <w:r w:rsidRPr="005E0D96">
        <w:rPr>
          <w:b/>
        </w:rPr>
        <w:t>protipechotné</w:t>
      </w:r>
      <w:r>
        <w:t>, ktoré sú určené na zranenie, zabitie alebo iné vyradenie osôb z boja a aktivujú sa činnosťou svojej obete</w:t>
      </w:r>
    </w:p>
    <w:p w:rsidR="005057ED" w:rsidRDefault="006D0544" w:rsidP="006D0544">
      <w:r w:rsidRPr="009952ED">
        <w:t>Sú často navrhované tak, aby nezabili svoju obeť, ale aby iba ťažko zranili cieľ</w:t>
      </w:r>
    </w:p>
    <w:p w:rsidR="00111DE2" w:rsidRDefault="006D0544" w:rsidP="006D0544">
      <w:r w:rsidRPr="009952ED">
        <w:t xml:space="preserve">Moderné míny boli navrhované tak, že po spustení vyskočili až 150 cm nad zem, kde došlo k výbuchu. Jednalo sa o oveľa účinnejšia zbraň zaberajúce väčšiu plochu. </w:t>
      </w:r>
    </w:p>
    <w:p w:rsidR="006D0544" w:rsidRDefault="006D0544" w:rsidP="006D0544">
      <w:r w:rsidRPr="009952ED">
        <w:t xml:space="preserve">Dostali prezývky "skákajúci </w:t>
      </w:r>
      <w:proofErr w:type="spellStart"/>
      <w:r w:rsidRPr="009952ED">
        <w:t>Jack</w:t>
      </w:r>
      <w:proofErr w:type="spellEnd"/>
      <w:r w:rsidRPr="009952ED">
        <w:t>"</w:t>
      </w:r>
      <w:r w:rsidR="00111DE2">
        <w:t xml:space="preserve"> - </w:t>
      </w:r>
      <w:r w:rsidR="00111DE2" w:rsidRPr="00111DE2">
        <w:rPr>
          <w:b/>
          <w:bCs/>
        </w:rPr>
        <w:t>PROM-1</w:t>
      </w:r>
      <w:r w:rsidR="00111DE2" w:rsidRPr="00111DE2">
        <w:t xml:space="preserve"> </w:t>
      </w:r>
      <w:r w:rsidR="00111DE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65 </w:t>
      </w:r>
      <w:proofErr w:type="spellStart"/>
      <w:r w:rsidR="00111DE2">
        <w:rPr>
          <w:rFonts w:ascii="Arial" w:hAnsi="Arial" w:cs="Arial"/>
          <w:color w:val="252525"/>
          <w:sz w:val="21"/>
          <w:szCs w:val="21"/>
          <w:shd w:val="clear" w:color="auto" w:fill="FFFFFF"/>
        </w:rPr>
        <w:t>centimetres</w:t>
      </w:r>
      <w:proofErr w:type="spellEnd"/>
      <w:r w:rsidRPr="009952ED">
        <w:t xml:space="preserve"> alebo "skákavá </w:t>
      </w:r>
      <w:proofErr w:type="spellStart"/>
      <w:r w:rsidRPr="009952ED">
        <w:t>Betty</w:t>
      </w:r>
      <w:proofErr w:type="spellEnd"/>
      <w:r w:rsidRPr="009952ED">
        <w:t>"</w:t>
      </w:r>
      <w:r w:rsidR="00111DE2">
        <w:t xml:space="preserve"> – S-</w:t>
      </w:r>
      <w:proofErr w:type="spellStart"/>
      <w:r w:rsidR="00111DE2">
        <w:t>mine</w:t>
      </w:r>
      <w:proofErr w:type="spellEnd"/>
      <w:r w:rsidR="00111DE2">
        <w:t>(</w:t>
      </w:r>
      <w:proofErr w:type="spellStart"/>
      <w:r w:rsidR="00111DE2">
        <w:t>Schrapnel-minen</w:t>
      </w:r>
      <w:proofErr w:type="spellEnd"/>
      <w:r w:rsidR="00111DE2">
        <w:t>)</w:t>
      </w:r>
      <w:r w:rsidR="00111DE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11DE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0.9 </w:t>
      </w:r>
      <w:proofErr w:type="spellStart"/>
      <w:r w:rsidR="00111DE2">
        <w:rPr>
          <w:rFonts w:ascii="Arial" w:hAnsi="Arial" w:cs="Arial"/>
          <w:color w:val="252525"/>
          <w:sz w:val="21"/>
          <w:szCs w:val="21"/>
          <w:shd w:val="clear" w:color="auto" w:fill="FFFFFF"/>
        </w:rPr>
        <w:t>meters</w:t>
      </w:r>
      <w:proofErr w:type="spellEnd"/>
      <w:r w:rsidRPr="009952ED">
        <w:t>, avšak oveľa poeticky znie slovenský názov pre tento typ min - "paštéta</w:t>
      </w:r>
    </w:p>
    <w:p w:rsidR="000E0D83" w:rsidRPr="000E0D83" w:rsidRDefault="000E0D83" w:rsidP="000E0D83">
      <w:pPr>
        <w:rPr>
          <w:b/>
          <w:color w:val="984806" w:themeColor="accent6" w:themeShade="80"/>
        </w:rPr>
      </w:pPr>
      <w:r w:rsidRPr="000E0D83">
        <w:rPr>
          <w:b/>
          <w:color w:val="984806" w:themeColor="accent6" w:themeShade="80"/>
        </w:rPr>
        <w:t>PREPNI</w:t>
      </w:r>
    </w:p>
    <w:p w:rsidR="00163E9C" w:rsidRDefault="006D0544" w:rsidP="006D0544">
      <w:pPr>
        <w:pStyle w:val="Odsekzoznamu"/>
        <w:numPr>
          <w:ilvl w:val="0"/>
          <w:numId w:val="2"/>
        </w:numPr>
      </w:pPr>
      <w:r>
        <w:t xml:space="preserve">Črepinové - </w:t>
      </w:r>
      <w:r w:rsidRPr="006D0544">
        <w:t xml:space="preserve">umiestňujú sa spravidla na povrch terénu alebo nad terén. V prípade umiestnenia pod povrch sú vybavené zariadením, ktorý zabezpečí, aby sa bojová časť dostala tesne pred výbuchom nad terén. Nálož máva hmotnosť od niekoľkých desiatok gramov po niekoľko kilogramov a smrtiaci dosah črepín môže prekročiť až 100 metrov, ale spravidla neprekračuje 30 metrov. Aktivované sú obvykle nástražným </w:t>
      </w:r>
      <w:proofErr w:type="spellStart"/>
      <w:r w:rsidRPr="006D0544">
        <w:t>roznecovačom</w:t>
      </w:r>
      <w:proofErr w:type="spellEnd"/>
      <w:r w:rsidRPr="006D0544">
        <w:t xml:space="preserve"> s „</w:t>
      </w:r>
      <w:proofErr w:type="spellStart"/>
      <w:r w:rsidRPr="006D0544">
        <w:t>klopýtacím</w:t>
      </w:r>
      <w:proofErr w:type="spellEnd"/>
      <w:r w:rsidRPr="006D0544">
        <w:t>“ drôtom (</w:t>
      </w:r>
      <w:proofErr w:type="spellStart"/>
      <w:r w:rsidRPr="006D0544">
        <w:t>roznecovač</w:t>
      </w:r>
      <w:proofErr w:type="spellEnd"/>
      <w:r w:rsidRPr="006D0544">
        <w:t xml:space="preserve"> reaguje na pohyb drôtu či lanka – tento spôsob iniciácie zväčšuje priestor, v ktorom mína deteguje cieľ). Osobitným druhom črepinových mín sú tzv. </w:t>
      </w:r>
      <w:proofErr w:type="spellStart"/>
      <w:r w:rsidRPr="006D0544">
        <w:t>vyskakovacie</w:t>
      </w:r>
      <w:proofErr w:type="spellEnd"/>
      <w:r w:rsidRPr="006D0544">
        <w:t xml:space="preserve"> míny. Takáto mína je celá uložená pod povrchom terénu. Po aktivácii, napríklad </w:t>
      </w:r>
      <w:proofErr w:type="spellStart"/>
      <w:r w:rsidRPr="006D0544">
        <w:t>našlapnim</w:t>
      </w:r>
      <w:proofErr w:type="spellEnd"/>
      <w:r w:rsidRPr="006D0544">
        <w:t xml:space="preserve"> alebo pohybom nástražného drôtu, je okamžite alebo s malým oneskorením z obalu míny vystrelená bojová časť míny, ktorá vo výške asi jeden meter nad terénom vybuchne a pokryje celé okolie (až do vzdialenosti 100 metrov) účinnými črepinami.</w:t>
      </w:r>
    </w:p>
    <w:p w:rsidR="000D508E" w:rsidRDefault="000D508E" w:rsidP="00163E9C">
      <w:pPr>
        <w:pStyle w:val="Odsekzoznamu"/>
        <w:numPr>
          <w:ilvl w:val="0"/>
          <w:numId w:val="2"/>
        </w:numPr>
      </w:pPr>
    </w:p>
    <w:p w:rsidR="00163E9C" w:rsidRDefault="006D0544" w:rsidP="00163E9C">
      <w:pPr>
        <w:pStyle w:val="Odsekzoznamu"/>
        <w:numPr>
          <w:ilvl w:val="0"/>
          <w:numId w:val="2"/>
        </w:numPr>
      </w:pPr>
      <w:r>
        <w:lastRenderedPageBreak/>
        <w:t xml:space="preserve">Šrapnelové – výbuchom  trhacej náplne sú do okolia miesta výbuchu vyvrhnuté šrapnely, ktoré zasahujú osoby </w:t>
      </w:r>
    </w:p>
    <w:p w:rsidR="000E0D83" w:rsidRPr="000E0D83" w:rsidRDefault="000E0D83" w:rsidP="000E0D83">
      <w:pPr>
        <w:rPr>
          <w:b/>
          <w:color w:val="984806" w:themeColor="accent6" w:themeShade="80"/>
        </w:rPr>
      </w:pPr>
      <w:r w:rsidRPr="000E0D83">
        <w:rPr>
          <w:b/>
          <w:color w:val="984806" w:themeColor="accent6" w:themeShade="80"/>
        </w:rPr>
        <w:t>PREPNI</w:t>
      </w:r>
    </w:p>
    <w:p w:rsidR="00C942F7" w:rsidRDefault="00C942F7" w:rsidP="00C942F7">
      <w:r w:rsidRPr="006A3C85">
        <w:rPr>
          <w:b/>
        </w:rPr>
        <w:t>c) míny s priestorovým ničivým účinkom</w:t>
      </w:r>
      <w:r>
        <w:t>, ktoré sú určené na ničenie jedného alebo viacerých cieľov v okolí svojho umiestnenia,</w:t>
      </w:r>
    </w:p>
    <w:p w:rsidR="000E0D83" w:rsidRPr="000E0D83" w:rsidRDefault="000E0D83" w:rsidP="000E0D83">
      <w:pPr>
        <w:rPr>
          <w:b/>
          <w:color w:val="984806" w:themeColor="accent6" w:themeShade="80"/>
        </w:rPr>
      </w:pPr>
      <w:r w:rsidRPr="000E0D83">
        <w:rPr>
          <w:b/>
          <w:color w:val="984806" w:themeColor="accent6" w:themeShade="80"/>
        </w:rPr>
        <w:t>PREPNI</w:t>
      </w:r>
    </w:p>
    <w:p w:rsidR="00C942F7" w:rsidRDefault="00C942F7" w:rsidP="00C942F7">
      <w:r>
        <w:t xml:space="preserve">d) </w:t>
      </w:r>
      <w:proofErr w:type="spellStart"/>
      <w:r w:rsidRPr="006A3C85">
        <w:rPr>
          <w:b/>
        </w:rPr>
        <w:t>protidopravné</w:t>
      </w:r>
      <w:proofErr w:type="spellEnd"/>
      <w:r w:rsidRPr="006A3C85">
        <w:rPr>
          <w:b/>
        </w:rPr>
        <w:t xml:space="preserve"> smerové míny</w:t>
      </w:r>
      <w:r>
        <w:t>, ktoré sú umiestnené</w:t>
      </w:r>
      <w:r w:rsidR="000E0D83">
        <w:t xml:space="preserve"> v blízkosti predpokladanej tra</w:t>
      </w:r>
      <w:r>
        <w:t>sy cieľa; sú to míny s horizontálnym účinkom,</w:t>
      </w:r>
    </w:p>
    <w:p w:rsidR="006A3C85" w:rsidRDefault="006A3C85" w:rsidP="00C942F7">
      <w:proofErr w:type="spellStart"/>
      <w:r w:rsidRPr="006A3C85">
        <w:t>Protidopravné</w:t>
      </w:r>
      <w:proofErr w:type="spellEnd"/>
      <w:r w:rsidRPr="006A3C85">
        <w:t xml:space="preserve"> smerové míny používané v ozbrojených silách, sú určené na ničenie tankov, obrnenej a dopravnej techniky. Používajú sa na zatarasovanie komunikácií na predpokladanom smere postupu nepriateľa. Kladú sa ručne mimo cesty. Z hľadiska spôsobu aktivácie sa môžu použiť ako kontaktné alebo riadené. Cieľ ničia oceľovými jadrami, ktoré sa vystreľujú z tela míny umiestnenej na stoja-</w:t>
      </w:r>
      <w:proofErr w:type="spellStart"/>
      <w:r w:rsidRPr="006A3C85">
        <w:t>ne</w:t>
      </w:r>
      <w:proofErr w:type="spellEnd"/>
      <w:r w:rsidRPr="006A3C85">
        <w:t xml:space="preserve">. Súpravu tvorí vlastná mína, roznetové zariadenie a príslušenstvo. Míny sa </w:t>
      </w:r>
      <w:proofErr w:type="spellStart"/>
      <w:r w:rsidRPr="006A3C85">
        <w:t>akti-vujú</w:t>
      </w:r>
      <w:proofErr w:type="spellEnd"/>
      <w:r w:rsidRPr="006A3C85">
        <w:t xml:space="preserve"> riadeným roznetom, keď obsluha odpaľuje riadenú mínu elektronicky v dobe prejazdu cieľa alebo prejazdom techniky po kontaktnej šnúre, ktorá je položená na komunikácii.</w:t>
      </w:r>
    </w:p>
    <w:p w:rsidR="000E0D83" w:rsidRPr="000E0D83" w:rsidRDefault="000E0D83" w:rsidP="000E0D83">
      <w:pPr>
        <w:rPr>
          <w:b/>
          <w:color w:val="984806" w:themeColor="accent6" w:themeShade="80"/>
        </w:rPr>
      </w:pPr>
      <w:r w:rsidRPr="000E0D83">
        <w:rPr>
          <w:b/>
          <w:color w:val="984806" w:themeColor="accent6" w:themeShade="80"/>
        </w:rPr>
        <w:t>PREPNI</w:t>
      </w:r>
    </w:p>
    <w:p w:rsidR="006A3C85" w:rsidRDefault="006A3C85" w:rsidP="006A3C85">
      <w:r>
        <w:t xml:space="preserve">Typy </w:t>
      </w:r>
      <w:proofErr w:type="spellStart"/>
      <w:r>
        <w:t>protidopravných</w:t>
      </w:r>
      <w:proofErr w:type="spellEnd"/>
      <w:r>
        <w:t xml:space="preserve"> smerových m</w:t>
      </w:r>
      <w:r w:rsidR="000E0D83">
        <w:t>ín používaných v ozbrojených si</w:t>
      </w:r>
      <w:r>
        <w:t>lách:</w:t>
      </w:r>
    </w:p>
    <w:p w:rsidR="006A3C85" w:rsidRDefault="006A3C85" w:rsidP="006A3C85">
      <w:r w:rsidRPr="006A3C85">
        <w:rPr>
          <w:color w:val="C0504D" w:themeColor="accent2"/>
        </w:rPr>
        <w:t xml:space="preserve">a) </w:t>
      </w:r>
      <w:proofErr w:type="spellStart"/>
      <w:r w:rsidRPr="006A3C85">
        <w:rPr>
          <w:color w:val="C0504D" w:themeColor="accent2"/>
        </w:rPr>
        <w:t>protidopravná</w:t>
      </w:r>
      <w:proofErr w:type="spellEnd"/>
      <w:r w:rsidRPr="006A3C85">
        <w:rPr>
          <w:color w:val="C0504D" w:themeColor="accent2"/>
        </w:rPr>
        <w:t xml:space="preserve"> mína </w:t>
      </w:r>
      <w:proofErr w:type="spellStart"/>
      <w:r w:rsidRPr="006A3C85">
        <w:rPr>
          <w:color w:val="C0504D" w:themeColor="accent2"/>
        </w:rPr>
        <w:t>protikorbová</w:t>
      </w:r>
      <w:proofErr w:type="spellEnd"/>
      <w:r w:rsidRPr="006A3C85">
        <w:rPr>
          <w:color w:val="C0504D" w:themeColor="accent2"/>
        </w:rPr>
        <w:t xml:space="preserve"> PD Mi-</w:t>
      </w:r>
      <w:proofErr w:type="spellStart"/>
      <w:r w:rsidRPr="006A3C85">
        <w:rPr>
          <w:color w:val="C0504D" w:themeColor="accent2"/>
        </w:rPr>
        <w:t>Pk</w:t>
      </w:r>
      <w:proofErr w:type="spellEnd"/>
      <w:r>
        <w:t xml:space="preserve"> - mína je určená na ničenie dopravnej techniky a obrnených transportérov; na vzdialenosť 30 m preráža oceľový pancier do hrúbky 20 mm; zásah cieľa je pravdepodobný do rýchlosti jeho pohybu 60 km/h; cieľ je ničený piatimi </w:t>
      </w:r>
      <w:proofErr w:type="spellStart"/>
      <w:r>
        <w:t>oce-ľovými</w:t>
      </w:r>
      <w:proofErr w:type="spellEnd"/>
      <w:r>
        <w:t xml:space="preserve"> jadrami vystrelenými z tela míny,</w:t>
      </w:r>
    </w:p>
    <w:p w:rsidR="001517BF" w:rsidRDefault="001517BF" w:rsidP="001517BF">
      <w:r>
        <w:t xml:space="preserve"> celková hmotnosť ................................................................................. 12 kg,</w:t>
      </w:r>
    </w:p>
    <w:p w:rsidR="001517BF" w:rsidRDefault="001517BF" w:rsidP="001517BF">
      <w:r>
        <w:t>hmotnosť trhacej náplne ..................................................................... 5,5 kg,</w:t>
      </w:r>
    </w:p>
    <w:p w:rsidR="001517BF" w:rsidRDefault="001517BF" w:rsidP="001517BF">
      <w:r>
        <w:t>vonkajšie rozmery .......................................................... 401 x 122 x 80 mm,</w:t>
      </w:r>
    </w:p>
    <w:p w:rsidR="001517BF" w:rsidRDefault="001517BF" w:rsidP="001517BF">
      <w:r>
        <w:t>výška míny na stojane ...................................................................... 555 mm,</w:t>
      </w:r>
    </w:p>
    <w:p w:rsidR="001517BF" w:rsidRDefault="001517BF" w:rsidP="001517BF">
      <w:r>
        <w:t>počet oceľových jadier ........................................................................... 5 ks,</w:t>
      </w:r>
    </w:p>
    <w:p w:rsidR="001517BF" w:rsidRDefault="001517BF" w:rsidP="001517BF">
      <w:r>
        <w:t>optimálna vzdialenosť cieľa ....................................................... 1 až 30 m,</w:t>
      </w:r>
    </w:p>
    <w:p w:rsidR="001517BF" w:rsidRDefault="001517BF" w:rsidP="001517BF">
      <w:r>
        <w:t>doba nepretržitej funkcie .......................................................... min. 10 dní,</w:t>
      </w:r>
    </w:p>
    <w:p w:rsidR="006A3C85" w:rsidRDefault="006A3C85" w:rsidP="006A3C85">
      <w:r w:rsidRPr="006A3C85">
        <w:rPr>
          <w:color w:val="C0504D" w:themeColor="accent2"/>
        </w:rPr>
        <w:t xml:space="preserve">b) protitanková mína </w:t>
      </w:r>
      <w:proofErr w:type="spellStart"/>
      <w:r w:rsidRPr="006A3C85">
        <w:rPr>
          <w:color w:val="C0504D" w:themeColor="accent2"/>
        </w:rPr>
        <w:t>protikorbová</w:t>
      </w:r>
      <w:proofErr w:type="spellEnd"/>
      <w:r w:rsidRPr="006A3C85">
        <w:rPr>
          <w:color w:val="C0504D" w:themeColor="accent2"/>
        </w:rPr>
        <w:t xml:space="preserve"> PT Mi-</w:t>
      </w:r>
      <w:proofErr w:type="spellStart"/>
      <w:r w:rsidRPr="006A3C85">
        <w:rPr>
          <w:color w:val="C0504D" w:themeColor="accent2"/>
        </w:rPr>
        <w:t>Pk</w:t>
      </w:r>
      <w:proofErr w:type="spellEnd"/>
      <w:r>
        <w:t xml:space="preserve"> - </w:t>
      </w:r>
      <w:r w:rsidRPr="006A3C85">
        <w:t>mína je v princípe rovnaká ako PD Mi-</w:t>
      </w:r>
      <w:proofErr w:type="spellStart"/>
      <w:r w:rsidRPr="006A3C85">
        <w:t>Pk</w:t>
      </w:r>
      <w:proofErr w:type="spellEnd"/>
      <w:r w:rsidRPr="006A3C85">
        <w:t xml:space="preserve">, ale je mohutnejšia; má priemer 22,5 cm a </w:t>
      </w:r>
      <w:r>
        <w:t>obsahuje len jednu strelu – jad</w:t>
      </w:r>
      <w:r w:rsidRPr="006A3C85">
        <w:t>ro.</w:t>
      </w:r>
    </w:p>
    <w:p w:rsidR="00C942F7" w:rsidRDefault="00C942F7" w:rsidP="00C942F7">
      <w:r w:rsidRPr="006A3C85">
        <w:rPr>
          <w:b/>
        </w:rPr>
        <w:t xml:space="preserve">e) </w:t>
      </w:r>
      <w:proofErr w:type="spellStart"/>
      <w:r w:rsidRPr="006A3C85">
        <w:rPr>
          <w:b/>
        </w:rPr>
        <w:t>protivrtuľníkové</w:t>
      </w:r>
      <w:proofErr w:type="spellEnd"/>
      <w:r w:rsidRPr="006A3C85">
        <w:rPr>
          <w:b/>
        </w:rPr>
        <w:t xml:space="preserve"> míny</w:t>
      </w:r>
      <w:r>
        <w:t xml:space="preserve">, určené na spôsobenie ničivého účinku na nízko letiace </w:t>
      </w:r>
      <w:proofErr w:type="spellStart"/>
      <w:r>
        <w:t>cie-le</w:t>
      </w:r>
      <w:proofErr w:type="spellEnd"/>
      <w:r>
        <w:t xml:space="preserve"> alebo nehybné ciele vo vise; môžu mať horizontálny alebo vertikálny účinok,</w:t>
      </w:r>
    </w:p>
    <w:p w:rsidR="00C942F7" w:rsidRDefault="00C942F7" w:rsidP="00C942F7">
      <w:bookmarkStart w:id="0" w:name="_GoBack"/>
      <w:r>
        <w:t>f</w:t>
      </w:r>
      <w:r w:rsidRPr="006A3C85">
        <w:rPr>
          <w:b/>
        </w:rPr>
        <w:t>) míny na zvláštne účely</w:t>
      </w:r>
      <w:r>
        <w:t xml:space="preserve">, ktoré sa používajú napríklad na osvetľovanie alebo </w:t>
      </w:r>
      <w:proofErr w:type="spellStart"/>
      <w:r>
        <w:t>signa-lizáciu</w:t>
      </w:r>
      <w:proofErr w:type="spellEnd"/>
      <w:r>
        <w:t>.</w:t>
      </w:r>
    </w:p>
    <w:bookmarkEnd w:id="0"/>
    <w:p w:rsidR="00C942F7" w:rsidRDefault="00C942F7" w:rsidP="00C942F7"/>
    <w:sectPr w:rsidR="00C94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0CD4"/>
    <w:multiLevelType w:val="hybridMultilevel"/>
    <w:tmpl w:val="B79EB962"/>
    <w:lvl w:ilvl="0" w:tplc="54A81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63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E6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21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8D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0C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F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64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43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E76D00"/>
    <w:multiLevelType w:val="hybridMultilevel"/>
    <w:tmpl w:val="DFDA66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A6E97"/>
    <w:multiLevelType w:val="hybridMultilevel"/>
    <w:tmpl w:val="B3CC35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C0"/>
    <w:rsid w:val="000D508E"/>
    <w:rsid w:val="000E0D83"/>
    <w:rsid w:val="00111DE2"/>
    <w:rsid w:val="001517BF"/>
    <w:rsid w:val="00152569"/>
    <w:rsid w:val="00163E9C"/>
    <w:rsid w:val="00222F3C"/>
    <w:rsid w:val="00247B9F"/>
    <w:rsid w:val="005057ED"/>
    <w:rsid w:val="00535A3F"/>
    <w:rsid w:val="005C73C0"/>
    <w:rsid w:val="005E0D96"/>
    <w:rsid w:val="00697DBD"/>
    <w:rsid w:val="006A3C85"/>
    <w:rsid w:val="006D0544"/>
    <w:rsid w:val="00882416"/>
    <w:rsid w:val="008B7E1B"/>
    <w:rsid w:val="008E5187"/>
    <w:rsid w:val="009952ED"/>
    <w:rsid w:val="00AC3E90"/>
    <w:rsid w:val="00BC6C9D"/>
    <w:rsid w:val="00C942F7"/>
    <w:rsid w:val="00E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231C17-3D1D-4C31-9246-FAEB235C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3E9C"/>
    <w:pPr>
      <w:ind w:left="720"/>
      <w:contextualSpacing/>
    </w:pPr>
  </w:style>
  <w:style w:type="paragraph" w:customStyle="1" w:styleId="Default">
    <w:name w:val="Default"/>
    <w:rsid w:val="00163E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Predvolenpsmoodseku"/>
    <w:rsid w:val="006D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2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717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Paly</cp:lastModifiedBy>
  <cp:revision>4</cp:revision>
  <dcterms:created xsi:type="dcterms:W3CDTF">2014-10-26T10:09:00Z</dcterms:created>
  <dcterms:modified xsi:type="dcterms:W3CDTF">2015-06-11T19:26:00Z</dcterms:modified>
</cp:coreProperties>
</file>