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F63C5B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1E70C1E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5</w:t>
            </w:r>
            <w:r w:rsidRPr="008A57EE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2B7EFB1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Kombinácia: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A57EE" w:rsidRPr="008A57EE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A57EE"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561998C6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37AFFB7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7246BA9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8A57EE" w:rsidRPr="008A57EE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2C4B7089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2726F85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075DC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75DC4" w:rsidRPr="00075DC4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14:paraId="45F97671" w14:textId="6EEAF1C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12.9.2022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C95931B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Opakovanie učiva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51393964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1B5B8F37" w14:textId="1414B753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dokáže samostatne opísať zloženie atómu.</w:t>
            </w:r>
          </w:p>
          <w:p w14:paraId="79C997A8" w14:textId="20F61532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vie vymenovať základné typy chemických väzieb a priradiť k ním príklad.</w:t>
            </w:r>
          </w:p>
          <w:p w14:paraId="1B97E7B2" w14:textId="7E6B24C2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ovláda rozdiel medzi redukciou a oxidáciou.</w:t>
            </w:r>
          </w:p>
          <w:p w14:paraId="6F6E3211" w14:textId="753C3580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 xml:space="preserve">Žiak pomocou periodickej sústavy prvkov dokáže určiť kovy, </w:t>
            </w:r>
            <w:proofErr w:type="spellStart"/>
            <w:r w:rsidRPr="00E84258">
              <w:rPr>
                <w:rFonts w:ascii="Calibri" w:hAnsi="Calibri"/>
                <w:sz w:val="20"/>
                <w:szCs w:val="20"/>
              </w:rPr>
              <w:t>polokovy</w:t>
            </w:r>
            <w:proofErr w:type="spellEnd"/>
            <w:r w:rsidRPr="00E84258">
              <w:rPr>
                <w:rFonts w:ascii="Calibri" w:hAnsi="Calibri"/>
                <w:sz w:val="20"/>
                <w:szCs w:val="20"/>
              </w:rPr>
              <w:t>, nekovy</w:t>
            </w:r>
            <w:r w:rsidR="00973E87">
              <w:rPr>
                <w:rFonts w:ascii="Calibri" w:hAnsi="Calibri"/>
                <w:sz w:val="20"/>
                <w:szCs w:val="20"/>
              </w:rPr>
              <w:t xml:space="preserve"> a ich umiestnenie v PSP</w:t>
            </w:r>
            <w:r w:rsidRPr="00E84258">
              <w:rPr>
                <w:rFonts w:ascii="Calibri" w:hAnsi="Calibri"/>
                <w:sz w:val="20"/>
                <w:szCs w:val="20"/>
              </w:rPr>
              <w:t>.</w:t>
            </w:r>
          </w:p>
          <w:p w14:paraId="7CC8D848" w14:textId="036D8801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 xml:space="preserve">Žiak dokáže samostatne vyrovnávať chemické </w:t>
            </w:r>
            <w:r w:rsidR="00973E87">
              <w:rPr>
                <w:rFonts w:ascii="Calibri" w:hAnsi="Calibri"/>
                <w:sz w:val="20"/>
                <w:szCs w:val="20"/>
              </w:rPr>
              <w:t>reakcie na chemické rovnice v súlade so zákonom zachovania hmotnosti.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Pr="006A749D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6A749D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rozprávanie,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</w:t>
            </w:r>
            <w:r w:rsidRPr="006A749D">
              <w:rPr>
                <w:rFonts w:ascii="Calibri" w:hAnsi="Calibri"/>
                <w:sz w:val="20"/>
                <w:szCs w:val="20"/>
                <w:u w:val="single"/>
              </w:rPr>
              <w:t>diskusia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práca s učebnicou, </w:t>
            </w:r>
            <w:r w:rsidRPr="006A749D">
              <w:rPr>
                <w:rFonts w:ascii="Calibri" w:hAnsi="Calibri"/>
                <w:sz w:val="20"/>
                <w:szCs w:val="20"/>
                <w:u w:val="single"/>
              </w:rPr>
              <w:t>práca s periodickou sústavou prvkov</w:t>
            </w:r>
            <w:r w:rsidRPr="1E84290B">
              <w:rPr>
                <w:rFonts w:ascii="Calibri" w:hAnsi="Calibri"/>
                <w:sz w:val="20"/>
                <w:szCs w:val="20"/>
              </w:rPr>
              <w:t>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rozprávanie,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opis, vysvetľovanie, prednáška, 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rozhovor,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, ústne opakovanie učiva, metóda kladenie otázok, písomné opakovanie, 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opakovanie s použitím učebnice, 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domáca úloha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</w:t>
            </w:r>
            <w:r w:rsidRPr="003851A3">
              <w:rPr>
                <w:rFonts w:ascii="Calibri" w:hAnsi="Calibri"/>
                <w:bCs/>
                <w:sz w:val="20"/>
                <w:szCs w:val="20"/>
                <w:u w:val="single"/>
              </w:rPr>
              <w:t>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hodnotenie učiteľom, 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sebahodnotenie žiaka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hodnotenie spolužiaka, </w:t>
            </w:r>
            <w:r w:rsidRPr="006A749D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3851A3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3851A3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</w:t>
            </w:r>
            <w:r w:rsidRPr="003851A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periodická sústava prvkov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, učebnice, cvičebnice, </w:t>
            </w:r>
            <w:r w:rsidRPr="003851A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>(napr</w:t>
            </w:r>
            <w:r w:rsidRPr="003851A3">
              <w:rPr>
                <w:rFonts w:ascii="Calibri" w:hAnsi="Calibri"/>
                <w:bCs/>
                <w:sz w:val="20"/>
                <w:szCs w:val="20"/>
                <w:u w:val="single"/>
              </w:rPr>
              <w:t>. 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510B038F" w:rsidR="00D96A11" w:rsidRDefault="00DC717E" w:rsidP="00283921">
            <w:pPr>
              <w:ind w:firstLine="0"/>
            </w:pPr>
            <w:r>
              <w:t>1 min</w:t>
            </w:r>
          </w:p>
        </w:tc>
        <w:tc>
          <w:tcPr>
            <w:tcW w:w="9146" w:type="dxa"/>
          </w:tcPr>
          <w:p w14:paraId="7A217C0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5CB7328D" w:rsidR="00E84258" w:rsidRPr="00C5690D" w:rsidRDefault="00E8425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C5690D">
              <w:rPr>
                <w:bCs/>
                <w:sz w:val="22"/>
                <w:szCs w:val="22"/>
              </w:rPr>
              <w:t>Na úvod hodiny sa predstavím a zistím počet chýbajúcich žiakov</w:t>
            </w:r>
            <w:r w:rsidR="00075DC4">
              <w:rPr>
                <w:bCs/>
                <w:sz w:val="22"/>
                <w:szCs w:val="22"/>
              </w:rPr>
              <w:t xml:space="preserve"> do aplikácie </w:t>
            </w:r>
            <w:proofErr w:type="spellStart"/>
            <w:r w:rsidR="00075DC4">
              <w:rPr>
                <w:bCs/>
                <w:sz w:val="22"/>
                <w:szCs w:val="22"/>
              </w:rPr>
              <w:t>EduPage</w:t>
            </w:r>
            <w:proofErr w:type="spellEnd"/>
            <w:r w:rsidR="00075DC4">
              <w:rPr>
                <w:bCs/>
                <w:sz w:val="22"/>
                <w:szCs w:val="22"/>
              </w:rPr>
              <w:t>.</w:t>
            </w:r>
            <w:r w:rsidR="00973E87">
              <w:rPr>
                <w:bCs/>
                <w:sz w:val="22"/>
                <w:szCs w:val="22"/>
              </w:rPr>
              <w:t xml:space="preserve"> Zapíšem tému VH.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5E74B2CF" w:rsidR="00D96A11" w:rsidRDefault="00DC717E" w:rsidP="00283921">
            <w:pPr>
              <w:ind w:firstLine="0"/>
            </w:pPr>
            <w:r>
              <w:t>2 min</w:t>
            </w:r>
          </w:p>
        </w:tc>
        <w:tc>
          <w:tcPr>
            <w:tcW w:w="9146" w:type="dxa"/>
          </w:tcPr>
          <w:p w14:paraId="5289069C" w14:textId="77777777" w:rsidR="00E84258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1B1A78F1" w:rsidR="00E84258" w:rsidRPr="00D76F51" w:rsidRDefault="00E84258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76F5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Žiakov oboznámim s dnešnou témou </w:t>
            </w:r>
            <w:r w:rsidR="00D76F51" w:rsidRPr="00D76F5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a načo sa spoločne zameriame</w:t>
            </w:r>
            <w:r w:rsidR="00075DC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 predstavím im ciele vyučovacej hodiny.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1AFC4311" w:rsidR="00D96A11" w:rsidRDefault="00DC717E" w:rsidP="00283921">
            <w:pPr>
              <w:ind w:firstLine="0"/>
            </w:pPr>
            <w:r>
              <w:t>7 min</w:t>
            </w:r>
          </w:p>
        </w:tc>
        <w:tc>
          <w:tcPr>
            <w:tcW w:w="9146" w:type="dxa"/>
          </w:tcPr>
          <w:p w14:paraId="1E09D97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14A2CF35" w:rsidR="00D76F51" w:rsidRPr="00D76F51" w:rsidRDefault="00D76F51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76F51">
              <w:rPr>
                <w:bCs/>
                <w:sz w:val="22"/>
                <w:szCs w:val="22"/>
              </w:rPr>
              <w:t>Na zopakovanie predošlej látky, ktorou boli značky prvkov v periodickej tabuľke im zadám krátku písomku na overenie ich vedomostí.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5082D969" w:rsidR="00D96A11" w:rsidRDefault="00DC717E" w:rsidP="00283921">
            <w:pPr>
              <w:ind w:firstLine="0"/>
            </w:pPr>
            <w:r>
              <w:t>1</w:t>
            </w:r>
            <w:r w:rsidR="00D918FA">
              <w:t>6</w:t>
            </w:r>
            <w:r>
              <w:t xml:space="preserve"> min</w:t>
            </w:r>
          </w:p>
        </w:tc>
        <w:tc>
          <w:tcPr>
            <w:tcW w:w="9146" w:type="dxa"/>
          </w:tcPr>
          <w:p w14:paraId="5CA4903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55D62C6D" w:rsidR="00D76F51" w:rsidRPr="00B920F0" w:rsidRDefault="00075DC4" w:rsidP="00973E87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Žiakov sa opýtam na nejasnosti v písomke, ktor</w:t>
            </w:r>
            <w:r w:rsidR="00973E87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é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973E87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spoločne 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prejdem</w:t>
            </w:r>
            <w:r w:rsidR="00973E87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e, a zodpoviem im 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prípadné otázky</w:t>
            </w:r>
            <w:r w:rsidR="00973E87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Opýtam sa žiakov na ich pocity a či sú spokojní so svojím výkonom na písomke. </w:t>
            </w:r>
            <w:r w:rsidR="00D76F51" w:rsidRPr="00B920F0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Vo fáze motivácie žiakom prostredníctvom vopred pripraveného pracovného listu zadám úlohy na dopĺňanie textu na vyznačené miesta.</w:t>
            </w:r>
            <w:r w:rsidR="00B920F0" w:rsidRPr="00B920F0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Príklady, ktoré je potrebné nakresliť alebo napísať pre správnosť v ich listoch zapisujem na tabuľu.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Pracujeme s periodickou sústavou prvkov, aby sa naučili rýchlo orientovať a chápali preberané učivo aj po praktickej stránke.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488B831C" w:rsidR="00D96A11" w:rsidRDefault="00DC717E" w:rsidP="00283921">
            <w:pPr>
              <w:ind w:firstLine="0"/>
            </w:pPr>
            <w:r>
              <w:t>15 min</w:t>
            </w:r>
          </w:p>
        </w:tc>
        <w:tc>
          <w:tcPr>
            <w:tcW w:w="9146" w:type="dxa"/>
          </w:tcPr>
          <w:p w14:paraId="775C1D7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0D4DDCE3" w:rsidR="00D76F51" w:rsidRPr="00B920F0" w:rsidRDefault="00D76F51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920F0">
              <w:rPr>
                <w:bCs/>
                <w:sz w:val="22"/>
                <w:szCs w:val="22"/>
              </w:rPr>
              <w:t>V rámci prehlbovania učiva žiakov postupne vyvolávam a jednotlivo im kladiem otázky, aby doplnili chýbajúci text.</w:t>
            </w:r>
            <w:r w:rsidR="00B920F0" w:rsidRPr="00B920F0">
              <w:rPr>
                <w:bCs/>
                <w:sz w:val="22"/>
                <w:szCs w:val="22"/>
              </w:rPr>
              <w:t xml:space="preserve"> Niektorých žiakov vyvolám aj k tabuli kvôli samostatnosti a lepšiemu pochopeniu učiva.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14CAA99A" w:rsidR="00D96A11" w:rsidRDefault="00DC717E" w:rsidP="00283921">
            <w:pPr>
              <w:ind w:firstLine="0"/>
            </w:pPr>
            <w:r>
              <w:lastRenderedPageBreak/>
              <w:t>2 min</w:t>
            </w:r>
          </w:p>
        </w:tc>
        <w:tc>
          <w:tcPr>
            <w:tcW w:w="9146" w:type="dxa"/>
          </w:tcPr>
          <w:p w14:paraId="7AB073EE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2974F97A" w:rsidR="00B920F0" w:rsidRPr="00AD0C5B" w:rsidRDefault="00B920F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AD0C5B">
              <w:rPr>
                <w:bCs/>
                <w:sz w:val="22"/>
                <w:szCs w:val="22"/>
              </w:rPr>
              <w:t>Žiakom zadám iba slovnú domácu úlohu nech si zopakujú značky prvkov, ak s tým mali na písomke problém a</w:t>
            </w:r>
            <w:r w:rsidR="00AD0C5B" w:rsidRPr="00AD0C5B">
              <w:rPr>
                <w:bCs/>
                <w:sz w:val="22"/>
                <w:szCs w:val="22"/>
              </w:rPr>
              <w:t> aby si zopakovali učivo, ktoré sa preberalo na dnešnej hodine.</w:t>
            </w:r>
            <w:r w:rsidR="00901D6B">
              <w:rPr>
                <w:bCs/>
                <w:sz w:val="22"/>
                <w:szCs w:val="22"/>
              </w:rPr>
              <w:t xml:space="preserve"> Ponúknem im na precvičovanie aplikácie voľne dostupné na </w:t>
            </w:r>
            <w:proofErr w:type="spellStart"/>
            <w:r w:rsidR="00901D6B">
              <w:rPr>
                <w:bCs/>
                <w:sz w:val="22"/>
                <w:szCs w:val="22"/>
              </w:rPr>
              <w:t>GooglePlay</w:t>
            </w:r>
            <w:proofErr w:type="spellEnd"/>
            <w:r w:rsidR="00901D6B">
              <w:rPr>
                <w:bCs/>
                <w:sz w:val="22"/>
                <w:szCs w:val="22"/>
              </w:rPr>
              <w:t xml:space="preserve">, ako napríklad </w:t>
            </w:r>
            <w:r w:rsidR="00901D6B">
              <w:rPr>
                <w:rFonts w:asciiTheme="minorHAnsi" w:hAnsiTheme="minorHAnsi" w:cstheme="minorHAnsi"/>
                <w:color w:val="000000" w:themeColor="text1"/>
              </w:rPr>
              <w:t>„Prvky a periodická tabuľka</w:t>
            </w:r>
            <w:r w:rsidR="00901D6B">
              <w:rPr>
                <w:rFonts w:asciiTheme="minorHAnsi" w:hAnsiTheme="minorHAnsi" w:cstheme="minorHAnsi"/>
                <w:i/>
                <w:color w:val="000000" w:themeColor="text1"/>
              </w:rPr>
              <w:t xml:space="preserve">“.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4E2EB7CB" w:rsidR="00D96A11" w:rsidRDefault="00D918FA" w:rsidP="00283921">
            <w:pPr>
              <w:ind w:firstLine="0"/>
            </w:pPr>
            <w:r>
              <w:t xml:space="preserve">2 </w:t>
            </w:r>
            <w:r w:rsidR="00DC717E">
              <w:t>min</w:t>
            </w:r>
          </w:p>
        </w:tc>
        <w:tc>
          <w:tcPr>
            <w:tcW w:w="9146" w:type="dxa"/>
          </w:tcPr>
          <w:p w14:paraId="71B1438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</w:t>
            </w:r>
            <w:bookmarkStart w:id="0" w:name="_GoBack"/>
            <w:bookmarkEnd w:id="0"/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otenie a záver</w:t>
            </w:r>
          </w:p>
          <w:p w14:paraId="6C3ED077" w14:textId="150FB80B" w:rsidR="00AD0C5B" w:rsidRPr="00AD0C5B" w:rsidRDefault="00AD0C5B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D0C5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poďakujem a</w:t>
            </w:r>
            <w:r w:rsidR="00D918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 odmením najviac aktívnych žiakov známkou 1 s polovičnou váhou zapísanej do aplikácie </w:t>
            </w:r>
            <w:proofErr w:type="spellStart"/>
            <w:r w:rsidR="00D918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EduPage</w:t>
            </w:r>
            <w:proofErr w:type="spellEnd"/>
            <w:r w:rsidR="00D918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 Zhrniem učivo, ktoré majú vedieť do budúcej hodiny a ukončím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2CCE118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38E451BA" w14:textId="0E96762B" w:rsidR="00901D6B" w:rsidRDefault="00901D6B" w:rsidP="006B3124">
      <w:pPr>
        <w:spacing w:before="0" w:line="276" w:lineRule="auto"/>
        <w:ind w:firstLine="0"/>
        <w:rPr>
          <w:rFonts w:ascii="Calibri" w:hAnsi="Calibri"/>
          <w:b/>
        </w:rPr>
      </w:pPr>
      <w:r>
        <w:rPr>
          <w:rFonts w:asciiTheme="minorHAnsi" w:hAnsiTheme="minorHAnsi" w:cstheme="minorHAnsi"/>
          <w:color w:val="000000" w:themeColor="text1"/>
        </w:rPr>
        <w:t>Aplikácia „Prvky a periodická tabuľka</w:t>
      </w:r>
      <w:r>
        <w:rPr>
          <w:rFonts w:asciiTheme="minorHAnsi" w:hAnsiTheme="minorHAnsi" w:cstheme="minorHAnsi"/>
          <w:i/>
          <w:color w:val="000000" w:themeColor="text1"/>
        </w:rPr>
        <w:t>“</w:t>
      </w:r>
      <w:r>
        <w:rPr>
          <w:rFonts w:asciiTheme="minorHAnsi" w:hAnsiTheme="minorHAnsi" w:cstheme="minorHAnsi"/>
          <w:color w:val="000000" w:themeColor="text1"/>
        </w:rPr>
        <w:t xml:space="preserve">, dostupná na: </w:t>
      </w:r>
      <w:hyperlink r:id="rId8" w:history="1">
        <w:r>
          <w:rPr>
            <w:rStyle w:val="Hypertextovprepojenie"/>
            <w:rFonts w:asciiTheme="minorHAnsi" w:hAnsiTheme="minorHAnsi" w:cstheme="minorHAnsi"/>
          </w:rPr>
          <w:t>https://play.google.com/store/apps/details?id=com.asmolgam.elements&amp;gl=SK</w:t>
        </w:r>
      </w:hyperlink>
    </w:p>
    <w:p w14:paraId="5C1FCD7A" w14:textId="77777777" w:rsidR="00901D6B" w:rsidRPr="00901D6B" w:rsidRDefault="00901D6B" w:rsidP="00901D6B">
      <w:pPr>
        <w:tabs>
          <w:tab w:val="left" w:pos="709"/>
        </w:tabs>
        <w:autoSpaceDN w:val="0"/>
        <w:spacing w:before="0" w:line="240" w:lineRule="auto"/>
        <w:ind w:firstLine="0"/>
        <w:jc w:val="left"/>
        <w:rPr>
          <w:rFonts w:asciiTheme="minorHAnsi" w:hAnsiTheme="minorHAnsi" w:cstheme="minorHAnsi"/>
          <w:sz w:val="22"/>
          <w:szCs w:val="20"/>
        </w:rPr>
      </w:pPr>
      <w:r w:rsidRPr="00901D6B">
        <w:rPr>
          <w:rFonts w:asciiTheme="minorHAnsi" w:hAnsiTheme="minorHAnsi" w:cstheme="minorHAnsi"/>
          <w:bCs/>
        </w:rPr>
        <w:t xml:space="preserve">Aplikácia „Prvky a periodická tabuľka“, dostupná na Apple </w:t>
      </w:r>
      <w:proofErr w:type="spellStart"/>
      <w:r w:rsidRPr="00901D6B">
        <w:rPr>
          <w:rFonts w:asciiTheme="minorHAnsi" w:hAnsiTheme="minorHAnsi" w:cstheme="minorHAnsi"/>
          <w:bCs/>
        </w:rPr>
        <w:t>Store</w:t>
      </w:r>
      <w:proofErr w:type="spellEnd"/>
      <w:r w:rsidRPr="00901D6B">
        <w:rPr>
          <w:rFonts w:asciiTheme="minorHAnsi" w:hAnsiTheme="minorHAnsi" w:cstheme="minorHAnsi"/>
          <w:bCs/>
        </w:rPr>
        <w:t>.</w:t>
      </w:r>
    </w:p>
    <w:p w14:paraId="62486C05" w14:textId="1FB69FB1" w:rsidR="002C12E0" w:rsidRDefault="006A749D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Pracovný list: Príloha č.1</w:t>
      </w:r>
      <w:r w:rsidR="001841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E84258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E84258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E84258" w:rsidSect="00973E87">
      <w:pgSz w:w="16838" w:h="11906" w:orient="landscape"/>
      <w:pgMar w:top="1417" w:right="1417" w:bottom="426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9600A"/>
    <w:multiLevelType w:val="hybridMultilevel"/>
    <w:tmpl w:val="596A9466"/>
    <w:lvl w:ilvl="0" w:tplc="BE369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5"/>
  </w:num>
  <w:num w:numId="6">
    <w:abstractNumId w:val="6"/>
  </w:num>
  <w:num w:numId="7">
    <w:abstractNumId w:val="0"/>
  </w:num>
  <w:num w:numId="8">
    <w:abstractNumId w:val="5"/>
  </w:num>
  <w:num w:numId="9">
    <w:abstractNumId w:val="25"/>
  </w:num>
  <w:num w:numId="10">
    <w:abstractNumId w:val="3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10"/>
  </w:num>
  <w:num w:numId="16">
    <w:abstractNumId w:val="14"/>
  </w:num>
  <w:num w:numId="17">
    <w:abstractNumId w:val="23"/>
  </w:num>
  <w:num w:numId="18">
    <w:abstractNumId w:val="22"/>
  </w:num>
  <w:num w:numId="19">
    <w:abstractNumId w:val="8"/>
  </w:num>
  <w:num w:numId="20">
    <w:abstractNumId w:val="2"/>
  </w:num>
  <w:num w:numId="21">
    <w:abstractNumId w:val="13"/>
  </w:num>
  <w:num w:numId="22">
    <w:abstractNumId w:val="20"/>
  </w:num>
  <w:num w:numId="23">
    <w:abstractNumId w:val="19"/>
  </w:num>
  <w:num w:numId="24">
    <w:abstractNumId w:val="11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DC4"/>
    <w:rsid w:val="000A6053"/>
    <w:rsid w:val="00115C4B"/>
    <w:rsid w:val="00134544"/>
    <w:rsid w:val="0016688F"/>
    <w:rsid w:val="001841EB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51A3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A749D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A57EE"/>
    <w:rsid w:val="008B1342"/>
    <w:rsid w:val="008E25AF"/>
    <w:rsid w:val="00901D6B"/>
    <w:rsid w:val="009062DA"/>
    <w:rsid w:val="009306E4"/>
    <w:rsid w:val="009545A8"/>
    <w:rsid w:val="00954E37"/>
    <w:rsid w:val="00973E87"/>
    <w:rsid w:val="009835EC"/>
    <w:rsid w:val="009C1DFF"/>
    <w:rsid w:val="00A07F42"/>
    <w:rsid w:val="00A15177"/>
    <w:rsid w:val="00A8134A"/>
    <w:rsid w:val="00AA12C7"/>
    <w:rsid w:val="00AD0C5B"/>
    <w:rsid w:val="00AD42A5"/>
    <w:rsid w:val="00AD7DB5"/>
    <w:rsid w:val="00AF2AD9"/>
    <w:rsid w:val="00B2170D"/>
    <w:rsid w:val="00B441C8"/>
    <w:rsid w:val="00B528C8"/>
    <w:rsid w:val="00B67470"/>
    <w:rsid w:val="00B920F0"/>
    <w:rsid w:val="00BE7B35"/>
    <w:rsid w:val="00BE7F8B"/>
    <w:rsid w:val="00C014BD"/>
    <w:rsid w:val="00C5690D"/>
    <w:rsid w:val="00C615FF"/>
    <w:rsid w:val="00CA6F90"/>
    <w:rsid w:val="00D37037"/>
    <w:rsid w:val="00D4269F"/>
    <w:rsid w:val="00D5716D"/>
    <w:rsid w:val="00D6719B"/>
    <w:rsid w:val="00D76F51"/>
    <w:rsid w:val="00D918FA"/>
    <w:rsid w:val="00D96A11"/>
    <w:rsid w:val="00D97D61"/>
    <w:rsid w:val="00DA6379"/>
    <w:rsid w:val="00DC717E"/>
    <w:rsid w:val="00DF1061"/>
    <w:rsid w:val="00E84258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99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smolgam.elements&amp;gl=S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17</cp:revision>
  <cp:lastPrinted>2015-02-09T08:21:00Z</cp:lastPrinted>
  <dcterms:created xsi:type="dcterms:W3CDTF">2022-02-06T16:03:00Z</dcterms:created>
  <dcterms:modified xsi:type="dcterms:W3CDTF">2022-09-27T19:21:00Z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