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52A0999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763026D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5</w:t>
            </w:r>
            <w:r w:rsidRPr="00EC622E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36A3A39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EC622E" w:rsidRPr="00EC622E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EC622E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68CA72E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4A23F85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chémie</w:t>
            </w:r>
          </w:p>
        </w:tc>
        <w:tc>
          <w:tcPr>
            <w:tcW w:w="3969" w:type="dxa"/>
            <w:shd w:val="clear" w:color="auto" w:fill="auto"/>
          </w:tcPr>
          <w:p w14:paraId="41C09A19" w14:textId="1A0C2303" w:rsidR="0054074A" w:rsidRPr="00EC622E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EC622E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629E248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III.O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02A1234A" w:rsidR="0054074A" w:rsidRPr="00850220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850220">
              <w:rPr>
                <w:rFonts w:ascii="Calibri" w:hAnsi="Calibri"/>
                <w:sz w:val="20"/>
                <w:szCs w:val="20"/>
              </w:rPr>
              <w:t>13</w:t>
            </w:r>
          </w:p>
        </w:tc>
        <w:tc>
          <w:tcPr>
            <w:tcW w:w="2126" w:type="dxa"/>
            <w:shd w:val="clear" w:color="auto" w:fill="auto"/>
          </w:tcPr>
          <w:p w14:paraId="45F97671" w14:textId="178E2BF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20.9.2022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2B3E8AD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Opakovanie učiva zo sekundy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3AF1F12A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EBDBA90" w14:textId="1D71D995" w:rsidR="00EC622E" w:rsidRPr="008F3433" w:rsidRDefault="00EC622E" w:rsidP="00EC622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F3433">
              <w:rPr>
                <w:rFonts w:ascii="Calibri" w:hAnsi="Calibri"/>
                <w:sz w:val="20"/>
                <w:szCs w:val="20"/>
              </w:rPr>
              <w:t>Žiaci vedia povedať rozdiel medzi chemickými a fyzikálnymi dejmi a priradiť k ním príklad.</w:t>
            </w:r>
          </w:p>
          <w:p w14:paraId="33B4E84B" w14:textId="27D052D5" w:rsidR="00EC622E" w:rsidRPr="008F3433" w:rsidRDefault="00EC622E" w:rsidP="00EC622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F3433">
              <w:rPr>
                <w:rFonts w:ascii="Calibri" w:hAnsi="Calibri"/>
                <w:sz w:val="20"/>
                <w:szCs w:val="20"/>
              </w:rPr>
              <w:t xml:space="preserve">Žiaci vedia napísať všeobecný zápis chemickej reakcie a určiť </w:t>
            </w:r>
            <w:proofErr w:type="spellStart"/>
            <w:r w:rsidRPr="008F3433">
              <w:rPr>
                <w:rFonts w:ascii="Calibri" w:hAnsi="Calibri"/>
                <w:sz w:val="20"/>
                <w:szCs w:val="20"/>
              </w:rPr>
              <w:t>reaktanty</w:t>
            </w:r>
            <w:proofErr w:type="spellEnd"/>
            <w:r w:rsidRPr="008F3433">
              <w:rPr>
                <w:rFonts w:ascii="Calibri" w:hAnsi="Calibri"/>
                <w:sz w:val="20"/>
                <w:szCs w:val="20"/>
              </w:rPr>
              <w:t xml:space="preserve"> a produkty.</w:t>
            </w:r>
          </w:p>
          <w:p w14:paraId="7E066CAC" w14:textId="21039812" w:rsidR="00EC622E" w:rsidRPr="008F3433" w:rsidRDefault="00EC622E" w:rsidP="00EC622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F3433">
              <w:rPr>
                <w:rFonts w:ascii="Calibri" w:hAnsi="Calibri"/>
                <w:sz w:val="20"/>
                <w:szCs w:val="20"/>
              </w:rPr>
              <w:t xml:space="preserve">Žiaci samostatne </w:t>
            </w:r>
            <w:r w:rsidR="00BA7EEC" w:rsidRPr="008F3433">
              <w:rPr>
                <w:rFonts w:ascii="Calibri" w:hAnsi="Calibri"/>
                <w:sz w:val="20"/>
                <w:szCs w:val="20"/>
              </w:rPr>
              <w:t>určia na príkladoch či ide o chemické zl</w:t>
            </w:r>
            <w:r w:rsidR="00BA6723">
              <w:rPr>
                <w:rFonts w:ascii="Calibri" w:hAnsi="Calibri"/>
                <w:sz w:val="20"/>
                <w:szCs w:val="20"/>
              </w:rPr>
              <w:t>u</w:t>
            </w:r>
            <w:r w:rsidR="00BA7EEC" w:rsidRPr="008F3433">
              <w:rPr>
                <w:rFonts w:ascii="Calibri" w:hAnsi="Calibri"/>
                <w:sz w:val="20"/>
                <w:szCs w:val="20"/>
              </w:rPr>
              <w:t>čovanie alebo chemický rozklad.</w:t>
            </w:r>
          </w:p>
          <w:p w14:paraId="23C7FA4A" w14:textId="79E63736" w:rsidR="00BA7EEC" w:rsidRPr="00EC622E" w:rsidRDefault="00BA7EEC" w:rsidP="00EC622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3433">
              <w:rPr>
                <w:rFonts w:ascii="Calibri" w:hAnsi="Calibri"/>
                <w:sz w:val="20"/>
                <w:szCs w:val="20"/>
              </w:rPr>
              <w:t>Žiaci podľa príkladov vedia určiť či ide o rýchlu alebo pomalú chemickú reakciu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ED0FC2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jc w:val="left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Pr="00ED0FC2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ED0FC2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(rozprávanie, rozhovor, </w:t>
            </w:r>
            <w:r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problémová otázka, demonštrácia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</w:t>
            </w:r>
            <w:r w:rsidRPr="00ED0FC2">
              <w:rPr>
                <w:rFonts w:ascii="Calibri" w:hAnsi="Calibri"/>
                <w:sz w:val="20"/>
                <w:szCs w:val="20"/>
              </w:rPr>
              <w:t>diskusia,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práca s učebnicou</w:t>
            </w:r>
            <w:r w:rsidRPr="00ED0FC2">
              <w:rPr>
                <w:rFonts w:ascii="Calibri" w:hAnsi="Calibri"/>
                <w:sz w:val="20"/>
                <w:szCs w:val="20"/>
                <w:u w:val="single"/>
              </w:rPr>
              <w:t>, práca s periodickou sústavou prvkov</w:t>
            </w:r>
            <w:r w:rsidRPr="1E84290B">
              <w:rPr>
                <w:rFonts w:ascii="Calibri" w:hAnsi="Calibri"/>
                <w:sz w:val="20"/>
                <w:szCs w:val="20"/>
              </w:rPr>
              <w:t>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D0FC2">
              <w:rPr>
                <w:rFonts w:ascii="Calibri" w:hAnsi="Calibri"/>
                <w:sz w:val="20"/>
                <w:szCs w:val="20"/>
                <w:u w:val="single"/>
              </w:rPr>
              <w:t>brainstorming,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ED0FC2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</w:t>
            </w:r>
            <w:r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rozhovor,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24CEAD42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sebahodnotenie žiaka, hodnotenie spolužiaka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</w:t>
            </w:r>
            <w:r w:rsidR="00ED0FC2"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hodnotenie motivačným </w:t>
            </w:r>
            <w:proofErr w:type="spellStart"/>
            <w:r w:rsidR="00ED0FC2"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emotikonom</w:t>
            </w:r>
            <w:proofErr w:type="spellEnd"/>
            <w:r w:rsidR="00ED0FC2"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v </w:t>
            </w:r>
            <w:proofErr w:type="spellStart"/>
            <w:r w:rsidR="00ED0FC2"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EduPage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>...................................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</w:t>
            </w:r>
            <w:r w:rsidRPr="00ED0FC2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periodická sústava prvkov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, učebnice, cvičebnice, </w:t>
            </w:r>
            <w:r w:rsidRPr="00ED0FC2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ED0FC2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265AD4A2" w:rsidR="00D96A11" w:rsidRDefault="004B1FDB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4673ECDE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4989288C" w:rsidR="00BA7EEC" w:rsidRPr="008F3433" w:rsidRDefault="00B01706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Keďže ide o našu prvú spoločnú hodinu, tak sa ž</w:t>
            </w:r>
            <w:r w:rsidR="008F3433">
              <w:rPr>
                <w:bCs/>
                <w:sz w:val="22"/>
                <w:szCs w:val="22"/>
              </w:rPr>
              <w:t>iakom predstavím</w:t>
            </w:r>
            <w:r>
              <w:rPr>
                <w:bCs/>
                <w:sz w:val="22"/>
                <w:szCs w:val="22"/>
              </w:rPr>
              <w:t>. Následne sa opýtam na chýbajúcich žiakov a</w:t>
            </w:r>
            <w:r w:rsidR="008F3433">
              <w:rPr>
                <w:bCs/>
                <w:sz w:val="22"/>
                <w:szCs w:val="22"/>
              </w:rPr>
              <w:t xml:space="preserve"> zapíšem si </w:t>
            </w:r>
            <w:r>
              <w:rPr>
                <w:bCs/>
                <w:sz w:val="22"/>
                <w:szCs w:val="22"/>
              </w:rPr>
              <w:t>ich</w:t>
            </w:r>
            <w:r w:rsidR="001A0894">
              <w:rPr>
                <w:bCs/>
                <w:sz w:val="22"/>
                <w:szCs w:val="22"/>
              </w:rPr>
              <w:t>;</w:t>
            </w:r>
            <w:r>
              <w:rPr>
                <w:bCs/>
                <w:sz w:val="22"/>
                <w:szCs w:val="22"/>
              </w:rPr>
              <w:t xml:space="preserve">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  <w:r w:rsidR="00BA6723">
              <w:rPr>
                <w:bCs/>
                <w:sz w:val="22"/>
                <w:szCs w:val="22"/>
              </w:rPr>
              <w:t xml:space="preserve"> Zapíšem učivo.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4015AFB4" w:rsidR="00D96A11" w:rsidRDefault="004B1FDB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2D4047BD" w14:textId="77777777" w:rsidR="008F3433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73EC4C5D" w:rsidR="008F3433" w:rsidRPr="001A055C" w:rsidRDefault="001A055C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A055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predstavím ciele dnešnej hodiny rozdám im k tomu pracovné listy.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4523FB3B" w:rsidR="00D96A11" w:rsidRDefault="004B1FDB" w:rsidP="00283921">
            <w:pPr>
              <w:ind w:firstLine="0"/>
            </w:pPr>
            <w:r>
              <w:t>3min</w:t>
            </w:r>
          </w:p>
        </w:tc>
        <w:tc>
          <w:tcPr>
            <w:tcW w:w="9146" w:type="dxa"/>
          </w:tcPr>
          <w:p w14:paraId="020CFF8F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51A06EAA" w:rsidR="001A055C" w:rsidRPr="001A055C" w:rsidRDefault="001A055C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Pripomeniem žiakom čo preberali minulý rok a tým naviažem na dnešnú hodinu, ktorej témou je opakovanie učiva z minulého roku.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0A79B347" w:rsidR="00D96A11" w:rsidRDefault="004B1FDB" w:rsidP="00283921">
            <w:pPr>
              <w:ind w:firstLine="0"/>
            </w:pPr>
            <w:r>
              <w:t>27min</w:t>
            </w:r>
          </w:p>
        </w:tc>
        <w:tc>
          <w:tcPr>
            <w:tcW w:w="9146" w:type="dxa"/>
          </w:tcPr>
          <w:p w14:paraId="4254C6D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5EC34A77" w:rsidR="001A055C" w:rsidRPr="001A055C" w:rsidRDefault="0018392E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Pomocou pracovného listu, do ktorého si žiaci dopisujú potrebné informácie na voľné miesta im vysvetľujem učivo</w:t>
            </w:r>
            <w:r w:rsidR="0049109F">
              <w:rPr>
                <w:bCs/>
                <w:sz w:val="22"/>
                <w:szCs w:val="22"/>
              </w:rPr>
              <w:t>. Aktívne žiakov zapájam do vysvetľovania kladením otázok, na ktoré odpovedajú čím sami dopĺňajú chýbajúce údaje.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3F2DA056" w:rsidR="00D96A11" w:rsidRDefault="004B1FDB" w:rsidP="00283921">
            <w:pPr>
              <w:ind w:firstLine="0"/>
            </w:pPr>
            <w:r>
              <w:t>7min</w:t>
            </w:r>
          </w:p>
        </w:tc>
        <w:tc>
          <w:tcPr>
            <w:tcW w:w="9146" w:type="dxa"/>
          </w:tcPr>
          <w:p w14:paraId="386B4D7A" w14:textId="77777777" w:rsidR="00056418" w:rsidRDefault="00601439" w:rsidP="006B294C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515027E9" w:rsidR="006B294C" w:rsidRPr="006B294C" w:rsidRDefault="006B294C" w:rsidP="00BA6723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8F377E">
              <w:rPr>
                <w:bCs/>
                <w:sz w:val="22"/>
                <w:szCs w:val="22"/>
              </w:rPr>
              <w:t xml:space="preserve">Po prejdení a doplnení celého pracovného listu žiakov vyzvem k tomu, aby si otočili vyplnené poznámky. </w:t>
            </w:r>
            <w:r>
              <w:rPr>
                <w:bCs/>
                <w:sz w:val="22"/>
                <w:szCs w:val="22"/>
              </w:rPr>
              <w:t>Na prehĺbenie využijem metódu otázok a</w:t>
            </w:r>
            <w:r w:rsidR="00BA6723">
              <w:rPr>
                <w:bCs/>
                <w:sz w:val="22"/>
                <w:szCs w:val="22"/>
              </w:rPr>
              <w:t> </w:t>
            </w:r>
            <w:r>
              <w:rPr>
                <w:bCs/>
                <w:sz w:val="22"/>
                <w:szCs w:val="22"/>
              </w:rPr>
              <w:t>odpovedí</w:t>
            </w:r>
            <w:r w:rsidR="00BA6723">
              <w:rPr>
                <w:bCs/>
                <w:sz w:val="22"/>
                <w:szCs w:val="22"/>
              </w:rPr>
              <w:t>, hádzaním loptičky,</w:t>
            </w:r>
            <w:r>
              <w:rPr>
                <w:bCs/>
                <w:sz w:val="22"/>
                <w:szCs w:val="22"/>
              </w:rPr>
              <w:t xml:space="preserve"> kde </w:t>
            </w:r>
            <w:r w:rsidR="00BA6723">
              <w:rPr>
                <w:bCs/>
                <w:sz w:val="22"/>
                <w:szCs w:val="22"/>
              </w:rPr>
              <w:t>ju budem hádza</w:t>
            </w:r>
            <w:r>
              <w:rPr>
                <w:bCs/>
                <w:sz w:val="22"/>
                <w:szCs w:val="22"/>
              </w:rPr>
              <w:t>ť náhodne žiako</w:t>
            </w:r>
            <w:r w:rsidR="00BA6723">
              <w:rPr>
                <w:bCs/>
                <w:sz w:val="22"/>
                <w:szCs w:val="22"/>
              </w:rPr>
              <w:t>m tak</w:t>
            </w:r>
            <w:r>
              <w:rPr>
                <w:bCs/>
                <w:sz w:val="22"/>
                <w:szCs w:val="22"/>
              </w:rPr>
              <w:t xml:space="preserve">, aby mi odpovedali na dané otázky.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3DBCD30D" w:rsidR="00D96A11" w:rsidRDefault="004B1FDB" w:rsidP="00283921">
            <w:pPr>
              <w:ind w:firstLine="0"/>
            </w:pPr>
            <w:r>
              <w:t>2min</w:t>
            </w:r>
          </w:p>
        </w:tc>
        <w:tc>
          <w:tcPr>
            <w:tcW w:w="9146" w:type="dxa"/>
          </w:tcPr>
          <w:p w14:paraId="72655842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652E97B3" w:rsidR="006B294C" w:rsidRPr="00E148C2" w:rsidRDefault="00E148C2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Žiakom </w:t>
            </w:r>
            <w:r w:rsidR="004B1FDB">
              <w:rPr>
                <w:bCs/>
                <w:sz w:val="22"/>
                <w:szCs w:val="22"/>
              </w:rPr>
              <w:t>zopakujem dôležité poznámky z dnešnej hodiny, aby si to doma pozreli a naučili sa.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2A9700A9" w:rsidR="00D96A11" w:rsidRDefault="004B1FDB" w:rsidP="00283921">
            <w:pPr>
              <w:ind w:firstLine="0"/>
            </w:pPr>
            <w:r>
              <w:t>4min</w:t>
            </w:r>
          </w:p>
        </w:tc>
        <w:tc>
          <w:tcPr>
            <w:tcW w:w="9146" w:type="dxa"/>
          </w:tcPr>
          <w:p w14:paraId="32AB052E" w14:textId="265CFBAE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6B294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7109F842" w:rsidR="006B294C" w:rsidRPr="006B294C" w:rsidRDefault="006B294C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 xml:space="preserve">Celej triede zapíšem motivačnú včeličku do aplikácie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EduPage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, pretože pri vypĺňaní pracovného listu boli všetci aktívni a vedeli správne odpovedať</w:t>
            </w:r>
            <w:r w:rsidR="00E148C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, čo znamená že si pamätajú minuloročné učivo. Žiakom poďakujem za hodinu a aktivitu.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lastRenderedPageBreak/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na vyučo</w:t>
      </w:r>
      <w:bookmarkStart w:id="0" w:name="_GoBack"/>
      <w:bookmarkEnd w:id="0"/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4F0EF42B" w:rsidR="002C12E0" w:rsidRDefault="00E148C2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Príloha č.16</w:t>
      </w:r>
    </w:p>
    <w:p w14:paraId="0BB9F3E2" w14:textId="77777777" w:rsidR="00E148C2" w:rsidRDefault="00E148C2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BA6723">
      <w:pgSz w:w="16838" w:h="11906" w:orient="landscape"/>
      <w:pgMar w:top="568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1722"/>
    <w:multiLevelType w:val="hybridMultilevel"/>
    <w:tmpl w:val="B7BE677E"/>
    <w:lvl w:ilvl="0" w:tplc="0DB05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15"/>
  </w:num>
  <w:num w:numId="6">
    <w:abstractNumId w:val="7"/>
  </w:num>
  <w:num w:numId="7">
    <w:abstractNumId w:val="0"/>
  </w:num>
  <w:num w:numId="8">
    <w:abstractNumId w:val="6"/>
  </w:num>
  <w:num w:numId="9">
    <w:abstractNumId w:val="24"/>
  </w:num>
  <w:num w:numId="10">
    <w:abstractNumId w:val="4"/>
  </w:num>
  <w:num w:numId="11">
    <w:abstractNumId w:val="17"/>
  </w:num>
  <w:num w:numId="12">
    <w:abstractNumId w:val="21"/>
  </w:num>
  <w:num w:numId="13">
    <w:abstractNumId w:val="18"/>
  </w:num>
  <w:num w:numId="14">
    <w:abstractNumId w:val="16"/>
  </w:num>
  <w:num w:numId="15">
    <w:abstractNumId w:val="11"/>
  </w:num>
  <w:num w:numId="16">
    <w:abstractNumId w:val="14"/>
  </w:num>
  <w:num w:numId="17">
    <w:abstractNumId w:val="23"/>
  </w:num>
  <w:num w:numId="18">
    <w:abstractNumId w:val="22"/>
  </w:num>
  <w:num w:numId="19">
    <w:abstractNumId w:val="9"/>
  </w:num>
  <w:num w:numId="20">
    <w:abstractNumId w:val="3"/>
  </w:num>
  <w:num w:numId="21">
    <w:abstractNumId w:val="13"/>
  </w:num>
  <w:num w:numId="22">
    <w:abstractNumId w:val="20"/>
  </w:num>
  <w:num w:numId="23">
    <w:abstractNumId w:val="19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56418"/>
    <w:rsid w:val="000A6053"/>
    <w:rsid w:val="00115C4B"/>
    <w:rsid w:val="00134544"/>
    <w:rsid w:val="0016688F"/>
    <w:rsid w:val="0018392E"/>
    <w:rsid w:val="001A055C"/>
    <w:rsid w:val="001A0894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9109F"/>
    <w:rsid w:val="004B1FDB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294C"/>
    <w:rsid w:val="006B3124"/>
    <w:rsid w:val="006C5267"/>
    <w:rsid w:val="00725948"/>
    <w:rsid w:val="00751070"/>
    <w:rsid w:val="00791634"/>
    <w:rsid w:val="007F3F9E"/>
    <w:rsid w:val="00850220"/>
    <w:rsid w:val="00855336"/>
    <w:rsid w:val="0086717F"/>
    <w:rsid w:val="008971D0"/>
    <w:rsid w:val="008B1342"/>
    <w:rsid w:val="008E25AF"/>
    <w:rsid w:val="008F3433"/>
    <w:rsid w:val="008F377E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01706"/>
    <w:rsid w:val="00B2170D"/>
    <w:rsid w:val="00B441C8"/>
    <w:rsid w:val="00B528C8"/>
    <w:rsid w:val="00B67470"/>
    <w:rsid w:val="00BA6723"/>
    <w:rsid w:val="00BA7EEC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E0DFB"/>
    <w:rsid w:val="00DF1061"/>
    <w:rsid w:val="00E148C2"/>
    <w:rsid w:val="00E852E1"/>
    <w:rsid w:val="00EC622E"/>
    <w:rsid w:val="00EC7BE4"/>
    <w:rsid w:val="00ED0FC2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18</cp:revision>
  <cp:lastPrinted>2015-02-09T08:21:00Z</cp:lastPrinted>
  <dcterms:created xsi:type="dcterms:W3CDTF">2022-02-06T16:03:00Z</dcterms:created>
  <dcterms:modified xsi:type="dcterms:W3CDTF">2022-09-27T19:16:00Z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