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17" w:rsidRPr="00476117" w:rsidRDefault="00476117" w:rsidP="00D75CF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76117">
        <w:rPr>
          <w:rFonts w:ascii="Times New Roman" w:hAnsi="Times New Roman" w:cs="Times New Roman"/>
          <w:b/>
          <w:sz w:val="36"/>
          <w:szCs w:val="36"/>
          <w:u w:val="single"/>
        </w:rPr>
        <w:t xml:space="preserve">ČO UŽ VIEME </w:t>
      </w:r>
      <w:r w:rsidRPr="00476117">
        <w:rPr>
          <w:rFonts w:ascii="Segoe UI Emoji" w:eastAsia="Segoe UI Emoji" w:hAnsi="Segoe UI Emoji" w:cs="Segoe UI Emoji"/>
          <w:b/>
          <w:sz w:val="36"/>
          <w:szCs w:val="36"/>
          <w:u w:val="single"/>
        </w:rPr>
        <w:t>😊</w:t>
      </w:r>
    </w:p>
    <w:p w:rsidR="00AF5A9B" w:rsidRDefault="00446396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</w:t>
      </w:r>
      <w:r w:rsidR="00E575B1" w:rsidRPr="005F5A31">
        <w:rPr>
          <w:rFonts w:ascii="Times New Roman" w:hAnsi="Times New Roman" w:cs="Times New Roman"/>
          <w:b/>
          <w:sz w:val="20"/>
          <w:szCs w:val="20"/>
        </w:rPr>
        <w:t xml:space="preserve">. u starej matky sa vyskytol </w:t>
      </w:r>
      <w:proofErr w:type="spellStart"/>
      <w:r w:rsidR="00E575B1" w:rsidRPr="005F5A31">
        <w:rPr>
          <w:rFonts w:ascii="Times New Roman" w:hAnsi="Times New Roman" w:cs="Times New Roman"/>
          <w:b/>
          <w:sz w:val="20"/>
          <w:szCs w:val="20"/>
        </w:rPr>
        <w:t>autozomálne</w:t>
      </w:r>
      <w:proofErr w:type="spellEnd"/>
      <w:r w:rsidR="00E575B1" w:rsidRPr="005F5A31">
        <w:rPr>
          <w:rFonts w:ascii="Times New Roman" w:hAnsi="Times New Roman" w:cs="Times New Roman"/>
          <w:b/>
          <w:sz w:val="20"/>
          <w:szCs w:val="20"/>
        </w:rPr>
        <w:t xml:space="preserve"> recesívny znak. Jej dcéra tento  znak nemá. Aká je pravdepodobnosť,</w:t>
      </w:r>
      <w:r w:rsidR="00E575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že vnúča bude mať tento znak, ak</w:t>
      </w:r>
      <w:r w:rsidR="00E575B1">
        <w:rPr>
          <w:rFonts w:ascii="Times New Roman" w:hAnsi="Times New Roman" w:cs="Times New Roman"/>
          <w:sz w:val="20"/>
          <w:szCs w:val="20"/>
        </w:rPr>
        <w:t xml:space="preserve"> jeho otec</w:t>
      </w:r>
      <w:r>
        <w:rPr>
          <w:rFonts w:ascii="Times New Roman" w:hAnsi="Times New Roman" w:cs="Times New Roman"/>
          <w:sz w:val="20"/>
          <w:szCs w:val="20"/>
        </w:rPr>
        <w:t xml:space="preserve"> (otec vnúčaťa)</w:t>
      </w:r>
      <w:r w:rsidR="00E575B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E575B1">
        <w:rPr>
          <w:rFonts w:ascii="Times New Roman" w:hAnsi="Times New Roman" w:cs="Times New Roman"/>
          <w:sz w:val="20"/>
          <w:szCs w:val="20"/>
        </w:rPr>
        <w:t>heterozygot</w:t>
      </w:r>
      <w:proofErr w:type="spellEnd"/>
      <w:r w:rsidR="00E575B1">
        <w:rPr>
          <w:rFonts w:ascii="Times New Roman" w:hAnsi="Times New Roman" w:cs="Times New Roman"/>
          <w:sz w:val="20"/>
          <w:szCs w:val="20"/>
        </w:rPr>
        <w:t xml:space="preserve"> pre daný znak:</w:t>
      </w:r>
    </w:p>
    <w:p w:rsidR="00E575B1" w:rsidRDefault="00E575B1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50%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0%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nebude ho mať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25%</w:t>
      </w:r>
    </w:p>
    <w:p w:rsidR="00446396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77160" w:rsidRPr="005F5A31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. u starej matky sa vyskytol 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autozomálne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recesívny znak. Jej dcéra tento znak nemá. Aká je pravdepodobnosť, že vnúča bude mať tento znak, ak jeho otec je jeho recesívny 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homozygot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pre tento znak: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25%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  <w:t>b</w:t>
      </w:r>
      <w:r>
        <w:rPr>
          <w:rFonts w:ascii="Times New Roman" w:hAnsi="Times New Roman" w:cs="Times New Roman"/>
          <w:sz w:val="20"/>
          <w:szCs w:val="20"/>
        </w:rPr>
        <w:t>. 0%</w:t>
      </w:r>
      <w:r w:rsidR="00446396">
        <w:rPr>
          <w:rFonts w:ascii="Times New Roman" w:hAnsi="Times New Roman" w:cs="Times New Roman"/>
          <w:sz w:val="20"/>
          <w:szCs w:val="20"/>
        </w:rPr>
        <w:t xml:space="preserve">      c</w:t>
      </w:r>
      <w:r>
        <w:rPr>
          <w:rFonts w:ascii="Times New Roman" w:hAnsi="Times New Roman" w:cs="Times New Roman"/>
          <w:sz w:val="20"/>
          <w:szCs w:val="20"/>
        </w:rPr>
        <w:t>. polovičná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nebude ho mať</w:t>
      </w:r>
    </w:p>
    <w:p w:rsidR="00446396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77160" w:rsidRPr="005F5A31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.dcéra rozoznáva normálne červenú a zelenú farbu, avš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k jej matka je farboslepá. Dcéra sa vydala a jej manžel nemá problémy pri rozlišovaní farieb. O pravdepodobnosti,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že ich syn nebude farboslepý platí:</w:t>
      </w:r>
    </w:p>
    <w:p w:rsidR="00E77160" w:rsidRDefault="00E77160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je rovnaká ako u</w:t>
      </w:r>
      <w:r w:rsidR="00446396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dcér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ich syn bude vždy farboslepý</w:t>
      </w:r>
    </w:p>
    <w:p w:rsidR="00E77160" w:rsidRDefault="00E77160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je rovnaká ako že ich dcéra bude farboslepá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ich syn nikdy nebude farboslepý</w:t>
      </w:r>
    </w:p>
    <w:p w:rsidR="00E77160" w:rsidRPr="005F5A31" w:rsidRDefault="00446396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. komplementárne vlákno k úseku reťazca ACT GCT TGT GTC AGT AA v DNA je: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TGA CGA AGA GAG TCA TT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TCA GGA ACA CAG TCA TT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TGA CCA ACA CAC TCA TT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TGA CGA </w:t>
      </w:r>
      <w:r w:rsidR="00694C51">
        <w:rPr>
          <w:rFonts w:ascii="Times New Roman" w:hAnsi="Times New Roman" w:cs="Times New Roman"/>
          <w:sz w:val="20"/>
          <w:szCs w:val="20"/>
        </w:rPr>
        <w:t>ACA CAG TCA TT</w:t>
      </w:r>
    </w:p>
    <w:p w:rsidR="00694C51" w:rsidRPr="005F5A31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>. chromatín sa skladá z:</w:t>
      </w:r>
    </w:p>
    <w:p w:rsidR="00694C51" w:rsidRDefault="00694C51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DNA a</w:t>
      </w:r>
      <w:r w:rsidR="00446396">
        <w:rPr>
          <w:rFonts w:ascii="Times New Roman" w:hAnsi="Times New Roman" w:cs="Times New Roman"/>
          <w:sz w:val="20"/>
          <w:szCs w:val="20"/>
        </w:rPr>
        <w:t> </w:t>
      </w:r>
      <w:proofErr w:type="spellStart"/>
      <w:r>
        <w:rPr>
          <w:rFonts w:ascii="Times New Roman" w:hAnsi="Times New Roman" w:cs="Times New Roman"/>
          <w:sz w:val="20"/>
          <w:szCs w:val="20"/>
        </w:rPr>
        <w:t>lipidov</w:t>
      </w:r>
      <w:proofErr w:type="spellEnd"/>
      <w:r w:rsidR="00446396">
        <w:rPr>
          <w:rFonts w:ascii="Times New Roman" w:hAnsi="Times New Roman" w:cs="Times New Roman"/>
          <w:sz w:val="20"/>
          <w:szCs w:val="20"/>
        </w:rPr>
        <w:tab/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DNA a bielkoviny</w:t>
      </w:r>
    </w:p>
    <w:p w:rsidR="00694C51" w:rsidRDefault="00694C51" w:rsidP="0044639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bielkoviny a</w:t>
      </w:r>
      <w:r w:rsidR="00446396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RNA</w:t>
      </w:r>
      <w:r w:rsidR="0044639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DNA a polysacharidov</w:t>
      </w:r>
    </w:p>
    <w:p w:rsidR="00774AE2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94C51" w:rsidRPr="005F5A31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>. genetická informácia sa z DNA transkripciou prepisuje do: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</w:t>
      </w:r>
      <w:r w:rsidR="00774AE2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RNA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t RN</w:t>
      </w:r>
      <w:r w:rsidR="00774AE2">
        <w:rPr>
          <w:rFonts w:ascii="Times New Roman" w:hAnsi="Times New Roman" w:cs="Times New Roman"/>
          <w:sz w:val="20"/>
          <w:szCs w:val="20"/>
        </w:rPr>
        <w:t>A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m RNA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r RNA</w:t>
      </w:r>
    </w:p>
    <w:p w:rsidR="00694C51" w:rsidRPr="005F5A31" w:rsidRDefault="00774AE2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 xml:space="preserve">. zdraví manželia majú dvoch synov, jeden z nich je </w:t>
      </w:r>
      <w:proofErr w:type="spellStart"/>
      <w:r w:rsidR="00694C51" w:rsidRPr="005F5A31">
        <w:rPr>
          <w:rFonts w:ascii="Times New Roman" w:hAnsi="Times New Roman" w:cs="Times New Roman"/>
          <w:b/>
          <w:sz w:val="20"/>
          <w:szCs w:val="20"/>
        </w:rPr>
        <w:t>daltonik</w:t>
      </w:r>
      <w:proofErr w:type="spellEnd"/>
      <w:r w:rsidR="00694C51" w:rsidRPr="005F5A31">
        <w:rPr>
          <w:rFonts w:ascii="Times New Roman" w:hAnsi="Times New Roman" w:cs="Times New Roman"/>
          <w:b/>
          <w:sz w:val="20"/>
          <w:szCs w:val="20"/>
        </w:rPr>
        <w:t>, aké sú genotypy oboch manželov:</w:t>
      </w:r>
    </w:p>
    <w:p w:rsidR="00694C51" w:rsidRDefault="00694C51" w:rsidP="00774AE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>
        <w:rPr>
          <w:rFonts w:ascii="Times New Roman" w:hAnsi="Times New Roman" w:cs="Times New Roman"/>
          <w:sz w:val="20"/>
          <w:szCs w:val="20"/>
        </w:rPr>
        <w:t>XdX</w:t>
      </w:r>
      <w:proofErr w:type="spellEnd"/>
      <w:r>
        <w:rPr>
          <w:rFonts w:ascii="Times New Roman" w:hAnsi="Times New Roman" w:cs="Times New Roman"/>
          <w:sz w:val="20"/>
          <w:szCs w:val="20"/>
        </w:rPr>
        <w:t>, XY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XX a</w:t>
      </w:r>
      <w:r w:rsidR="00774AE2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XY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>
        <w:rPr>
          <w:rFonts w:ascii="Times New Roman" w:hAnsi="Times New Roman" w:cs="Times New Roman"/>
          <w:sz w:val="20"/>
          <w:szCs w:val="20"/>
        </w:rPr>
        <w:t>XdXd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774AE2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XY</w:t>
      </w:r>
      <w:r w:rsidR="00774A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XX a </w:t>
      </w:r>
      <w:proofErr w:type="spellStart"/>
      <w:r>
        <w:rPr>
          <w:rFonts w:ascii="Times New Roman" w:hAnsi="Times New Roman" w:cs="Times New Roman"/>
          <w:sz w:val="20"/>
          <w:szCs w:val="20"/>
        </w:rPr>
        <w:t>XdY</w:t>
      </w:r>
      <w:proofErr w:type="spellEnd"/>
    </w:p>
    <w:p w:rsidR="003472CD" w:rsidRDefault="003472CD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42BC" w:rsidRPr="005F5A31" w:rsidRDefault="00390D2F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8</w:t>
      </w:r>
      <w:r w:rsidR="004442BC" w:rsidRPr="005F5A31">
        <w:rPr>
          <w:rFonts w:ascii="Times New Roman" w:hAnsi="Times New Roman" w:cs="Times New Roman"/>
          <w:b/>
          <w:sz w:val="20"/>
          <w:szCs w:val="20"/>
        </w:rPr>
        <w:t>. kvalitatívne znaky sú:</w:t>
      </w:r>
    </w:p>
    <w:p w:rsidR="004442BC" w:rsidRDefault="004442BC" w:rsidP="00390D2F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farba korunných lupienkov</w:t>
      </w:r>
      <w:r w:rsidR="00390D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farba očí</w:t>
      </w:r>
      <w:r w:rsidR="00390D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pohlavie</w:t>
      </w:r>
      <w:r w:rsidR="00390D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výška</w:t>
      </w:r>
    </w:p>
    <w:p w:rsidR="00390D2F" w:rsidRDefault="00390D2F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390D2F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9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kodón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je:</w:t>
      </w:r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>a. informácia určujúca zaradenie aminokyseliny do reťazca peptidu</w:t>
      </w:r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triplet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susedných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nukleotidov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v DNA alebo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mRNA</w:t>
      </w:r>
      <w:proofErr w:type="spellEnd"/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triplet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v 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rRNA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určujúci zaradenie aminokyseliny</w:t>
      </w:r>
    </w:p>
    <w:p w:rsidR="00537DAE" w:rsidRPr="00537DAE" w:rsidRDefault="00537DAE" w:rsidP="00390D2F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>d. ochranný prostriedok</w:t>
      </w: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10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špecifické trojice za sebou nasledujúcich nukleotidov v makromolekule DNA sa nazývajú: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kodóny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antikodóny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genómy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d.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trinómy</w:t>
      </w:r>
      <w:proofErr w:type="spellEnd"/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11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na základe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komplementarity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báz sa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tymín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viaže s: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guanínom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uracilom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cytozínom</w:t>
      </w:r>
      <w:proofErr w:type="spellEnd"/>
      <w:r w:rsidR="0047611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>d. adenínom</w:t>
      </w:r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12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medzi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organely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eukaryotických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buniek patrí: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ribozómy</w:t>
      </w:r>
      <w:proofErr w:type="spellEnd"/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endoplazmatické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retikulum</w:t>
      </w:r>
      <w:proofErr w:type="spellEnd"/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c. centriola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tukové kvapôčky</w:t>
      </w:r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13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lyzozómy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>:</w:t>
      </w:r>
    </w:p>
    <w:p w:rsidR="00537DAE" w:rsidRPr="00537DAE" w:rsidRDefault="00537DAE" w:rsidP="00476117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sú stálou membránovou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organelou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prokaryotických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buniek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b. sú malé mechúriky z 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biomembrány</w:t>
      </w:r>
      <w:proofErr w:type="spellEnd"/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obsahujú tráviace enzýmy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d. sú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organelami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osmotickej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rovnováhy</w:t>
      </w: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14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bunková stena eukaryotickej bunky môže obsahovať: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chitín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b. celulózu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lignín</w:t>
      </w:r>
    </w:p>
    <w:p w:rsidR="00537DAE" w:rsidRPr="00537DAE" w:rsidRDefault="00537DAE" w:rsidP="0047611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d. glykogén</w:t>
      </w: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15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mitochondrie sú: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zložené z jednej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zriasnenej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membrány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energetickými centrami bunky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tyčinkovitého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až vláknitého tvaru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prítomné v prokaryotických bunkách</w:t>
      </w:r>
    </w:p>
    <w:p w:rsidR="00476117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476117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16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vakuoly môžeme nájsť: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v rastlinnej bunke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v cytoplazme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najmä v</w:t>
      </w:r>
      <w:r w:rsidR="00476117">
        <w:rPr>
          <w:rFonts w:ascii="Times New Roman" w:hAnsi="Times New Roman" w:cs="Times New Roman"/>
          <w:sz w:val="20"/>
          <w:szCs w:val="20"/>
        </w:rPr>
        <w:t> </w:t>
      </w:r>
      <w:r w:rsidRPr="00537DAE">
        <w:rPr>
          <w:rFonts w:ascii="Times New Roman" w:hAnsi="Times New Roman" w:cs="Times New Roman"/>
          <w:sz w:val="20"/>
          <w:szCs w:val="20"/>
        </w:rPr>
        <w:t>hubách</w:t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="00476117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len v živočíšnej bunke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37DAE" w:rsidRPr="00537DAE" w:rsidSect="001867CD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7CD"/>
    <w:rsid w:val="00041462"/>
    <w:rsid w:val="001426D4"/>
    <w:rsid w:val="001867CD"/>
    <w:rsid w:val="002460F4"/>
    <w:rsid w:val="002C240F"/>
    <w:rsid w:val="003472CD"/>
    <w:rsid w:val="00374574"/>
    <w:rsid w:val="00390D2F"/>
    <w:rsid w:val="003A7199"/>
    <w:rsid w:val="003B052B"/>
    <w:rsid w:val="004442BC"/>
    <w:rsid w:val="00446396"/>
    <w:rsid w:val="00457409"/>
    <w:rsid w:val="00476117"/>
    <w:rsid w:val="00500DD2"/>
    <w:rsid w:val="0050240E"/>
    <w:rsid w:val="00537DAE"/>
    <w:rsid w:val="00555A89"/>
    <w:rsid w:val="005F5A31"/>
    <w:rsid w:val="006053C9"/>
    <w:rsid w:val="00660912"/>
    <w:rsid w:val="00694C51"/>
    <w:rsid w:val="00696CE9"/>
    <w:rsid w:val="006A691C"/>
    <w:rsid w:val="006E7340"/>
    <w:rsid w:val="00756C77"/>
    <w:rsid w:val="00765F4F"/>
    <w:rsid w:val="00774AE2"/>
    <w:rsid w:val="00777508"/>
    <w:rsid w:val="007A1C77"/>
    <w:rsid w:val="008043A0"/>
    <w:rsid w:val="008264D9"/>
    <w:rsid w:val="00862FC4"/>
    <w:rsid w:val="00870F3B"/>
    <w:rsid w:val="00876B22"/>
    <w:rsid w:val="008A2FA3"/>
    <w:rsid w:val="008B2471"/>
    <w:rsid w:val="00940DC8"/>
    <w:rsid w:val="009871DD"/>
    <w:rsid w:val="009D19A7"/>
    <w:rsid w:val="009D528D"/>
    <w:rsid w:val="00A03B94"/>
    <w:rsid w:val="00AF5A9B"/>
    <w:rsid w:val="00B25A2B"/>
    <w:rsid w:val="00B72D26"/>
    <w:rsid w:val="00BA012B"/>
    <w:rsid w:val="00BE13C8"/>
    <w:rsid w:val="00BE7DAA"/>
    <w:rsid w:val="00C469E5"/>
    <w:rsid w:val="00C517E7"/>
    <w:rsid w:val="00C521B1"/>
    <w:rsid w:val="00D10845"/>
    <w:rsid w:val="00D75CF4"/>
    <w:rsid w:val="00DF1150"/>
    <w:rsid w:val="00E10479"/>
    <w:rsid w:val="00E575B1"/>
    <w:rsid w:val="00E77160"/>
    <w:rsid w:val="00E92F5E"/>
    <w:rsid w:val="00F1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5A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Krajčovičová</dc:creator>
  <cp:lastModifiedBy>sokol</cp:lastModifiedBy>
  <cp:revision>2</cp:revision>
  <cp:lastPrinted>2020-06-15T04:05:00Z</cp:lastPrinted>
  <dcterms:created xsi:type="dcterms:W3CDTF">2023-04-02T07:39:00Z</dcterms:created>
  <dcterms:modified xsi:type="dcterms:W3CDTF">2023-04-02T07:39:00Z</dcterms:modified>
</cp:coreProperties>
</file>