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8A4" w:rsidRPr="009055CE" w:rsidRDefault="00EE4B4A" w:rsidP="009055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55CE">
        <w:rPr>
          <w:rFonts w:ascii="Times New Roman" w:hAnsi="Times New Roman" w:cs="Times New Roman"/>
          <w:b/>
          <w:sz w:val="24"/>
          <w:szCs w:val="24"/>
        </w:rPr>
        <w:t>Protokol z fyzikálnej chémie č.</w:t>
      </w:r>
      <w:r w:rsidR="00B517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7CBF">
        <w:rPr>
          <w:rFonts w:ascii="Times New Roman" w:hAnsi="Times New Roman" w:cs="Times New Roman"/>
          <w:b/>
          <w:sz w:val="24"/>
          <w:szCs w:val="24"/>
        </w:rPr>
        <w:t>7</w:t>
      </w:r>
    </w:p>
    <w:p w:rsidR="00FA38A4" w:rsidRPr="009055CE" w:rsidRDefault="00B5174C" w:rsidP="009055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Téma č. 2</w:t>
      </w:r>
      <w:r w:rsidR="00DD7CBF">
        <w:rPr>
          <w:rFonts w:ascii="Times New Roman" w:hAnsi="Times New Roman" w:cs="Times New Roman"/>
          <w:b/>
          <w:sz w:val="24"/>
          <w:szCs w:val="24"/>
        </w:rPr>
        <w:t>8</w:t>
      </w:r>
    </w:p>
    <w:p w:rsidR="00FA38A4" w:rsidRPr="009055CE" w:rsidRDefault="00FA38A4" w:rsidP="009055C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38A4" w:rsidRPr="009055CE" w:rsidRDefault="00FA38A4" w:rsidP="009055CE">
      <w:pPr>
        <w:jc w:val="both"/>
        <w:rPr>
          <w:rFonts w:ascii="Times New Roman" w:hAnsi="Times New Roman" w:cs="Times New Roman"/>
          <w:sz w:val="24"/>
          <w:szCs w:val="24"/>
        </w:rPr>
      </w:pPr>
      <w:r w:rsidRPr="009055CE">
        <w:rPr>
          <w:rFonts w:ascii="Times New Roman" w:hAnsi="Times New Roman" w:cs="Times New Roman"/>
          <w:b/>
          <w:sz w:val="24"/>
          <w:szCs w:val="24"/>
        </w:rPr>
        <w:t xml:space="preserve">Meno a priezvisko: </w:t>
      </w:r>
      <w:r w:rsidRPr="009055CE">
        <w:rPr>
          <w:rFonts w:ascii="Times New Roman" w:hAnsi="Times New Roman" w:cs="Times New Roman"/>
          <w:sz w:val="24"/>
          <w:szCs w:val="24"/>
        </w:rPr>
        <w:t>Ivana Kiselová</w:t>
      </w:r>
      <w:r w:rsidRPr="009055CE">
        <w:rPr>
          <w:rFonts w:ascii="Times New Roman" w:hAnsi="Times New Roman" w:cs="Times New Roman"/>
          <w:sz w:val="24"/>
          <w:szCs w:val="24"/>
        </w:rPr>
        <w:tab/>
      </w:r>
      <w:r w:rsidRPr="009055CE">
        <w:rPr>
          <w:rFonts w:ascii="Times New Roman" w:hAnsi="Times New Roman" w:cs="Times New Roman"/>
          <w:sz w:val="24"/>
          <w:szCs w:val="24"/>
        </w:rPr>
        <w:tab/>
      </w:r>
      <w:r w:rsidRPr="009055CE">
        <w:rPr>
          <w:rFonts w:ascii="Times New Roman" w:hAnsi="Times New Roman" w:cs="Times New Roman"/>
          <w:sz w:val="24"/>
          <w:szCs w:val="24"/>
        </w:rPr>
        <w:tab/>
      </w:r>
      <w:r w:rsidRPr="009055CE">
        <w:rPr>
          <w:rFonts w:ascii="Times New Roman" w:hAnsi="Times New Roman" w:cs="Times New Roman"/>
          <w:sz w:val="24"/>
          <w:szCs w:val="24"/>
        </w:rPr>
        <w:tab/>
      </w:r>
      <w:r w:rsidRPr="009055CE">
        <w:rPr>
          <w:rFonts w:ascii="Times New Roman" w:hAnsi="Times New Roman" w:cs="Times New Roman"/>
          <w:b/>
          <w:sz w:val="24"/>
          <w:szCs w:val="24"/>
        </w:rPr>
        <w:t xml:space="preserve">Skupina: </w:t>
      </w:r>
      <w:r w:rsidRPr="009055CE">
        <w:rPr>
          <w:rFonts w:ascii="Times New Roman" w:hAnsi="Times New Roman" w:cs="Times New Roman"/>
          <w:sz w:val="24"/>
          <w:szCs w:val="24"/>
        </w:rPr>
        <w:t>3BCHb1</w:t>
      </w:r>
    </w:p>
    <w:p w:rsidR="00FA38A4" w:rsidRPr="009055CE" w:rsidRDefault="00FA38A4" w:rsidP="009055CE">
      <w:pPr>
        <w:jc w:val="both"/>
        <w:rPr>
          <w:rFonts w:ascii="Times New Roman" w:hAnsi="Times New Roman" w:cs="Times New Roman"/>
          <w:sz w:val="24"/>
          <w:szCs w:val="24"/>
        </w:rPr>
      </w:pPr>
      <w:r w:rsidRPr="009055CE">
        <w:rPr>
          <w:rFonts w:ascii="Times New Roman" w:hAnsi="Times New Roman" w:cs="Times New Roman"/>
          <w:b/>
          <w:sz w:val="24"/>
          <w:szCs w:val="24"/>
        </w:rPr>
        <w:t xml:space="preserve">Dátum práce: </w:t>
      </w:r>
      <w:r w:rsidR="00DD7CBF">
        <w:rPr>
          <w:rFonts w:ascii="Times New Roman" w:hAnsi="Times New Roman" w:cs="Times New Roman"/>
          <w:sz w:val="24"/>
          <w:szCs w:val="24"/>
        </w:rPr>
        <w:t>21</w:t>
      </w:r>
      <w:r w:rsidRPr="009055CE">
        <w:rPr>
          <w:rFonts w:ascii="Times New Roman" w:hAnsi="Times New Roman" w:cs="Times New Roman"/>
          <w:sz w:val="24"/>
          <w:szCs w:val="24"/>
        </w:rPr>
        <w:t>. 1</w:t>
      </w:r>
      <w:r w:rsidR="00EE4B4A" w:rsidRPr="009055CE">
        <w:rPr>
          <w:rFonts w:ascii="Times New Roman" w:hAnsi="Times New Roman" w:cs="Times New Roman"/>
          <w:sz w:val="24"/>
          <w:szCs w:val="24"/>
        </w:rPr>
        <w:t>1</w:t>
      </w:r>
      <w:r w:rsidRPr="009055CE">
        <w:rPr>
          <w:rFonts w:ascii="Times New Roman" w:hAnsi="Times New Roman" w:cs="Times New Roman"/>
          <w:sz w:val="24"/>
          <w:szCs w:val="24"/>
        </w:rPr>
        <w:t>. 2016</w:t>
      </w:r>
    </w:p>
    <w:p w:rsidR="00FA38A4" w:rsidRPr="009055CE" w:rsidRDefault="00FA38A4" w:rsidP="009055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8A4" w:rsidRPr="00E81A89" w:rsidRDefault="00FA38A4" w:rsidP="009055CE">
      <w:pPr>
        <w:jc w:val="both"/>
        <w:rPr>
          <w:rFonts w:ascii="Times New Roman" w:hAnsi="Times New Roman" w:cs="Times New Roman"/>
          <w:sz w:val="24"/>
          <w:szCs w:val="24"/>
        </w:rPr>
      </w:pPr>
      <w:r w:rsidRPr="009055CE">
        <w:rPr>
          <w:rFonts w:ascii="Times New Roman" w:hAnsi="Times New Roman" w:cs="Times New Roman"/>
          <w:b/>
          <w:sz w:val="24"/>
          <w:szCs w:val="24"/>
        </w:rPr>
        <w:t>Téma:</w:t>
      </w:r>
      <w:r w:rsidR="00E81A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1A89">
        <w:rPr>
          <w:rFonts w:ascii="Times New Roman" w:hAnsi="Times New Roman" w:cs="Times New Roman"/>
          <w:sz w:val="24"/>
          <w:szCs w:val="24"/>
        </w:rPr>
        <w:t>Štúdium absorpčných spektier.</w:t>
      </w:r>
    </w:p>
    <w:p w:rsidR="00E81A89" w:rsidRDefault="00FA38A4" w:rsidP="00E81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5CE">
        <w:rPr>
          <w:rFonts w:ascii="Times New Roman" w:hAnsi="Times New Roman" w:cs="Times New Roman"/>
          <w:b/>
          <w:sz w:val="24"/>
          <w:szCs w:val="24"/>
        </w:rPr>
        <w:t>Úloha:</w:t>
      </w:r>
      <w:r w:rsidR="00E81A8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81A89" w:rsidRDefault="00E81A89" w:rsidP="00E81A89">
      <w:pPr>
        <w:pStyle w:val="Odstavecseseznamem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základe merania absorbancie zostrojte absorpčnú krivku A= f(λ) daného roztoku.</w:t>
      </w:r>
    </w:p>
    <w:p w:rsidR="00E81A89" w:rsidRDefault="00E81A89" w:rsidP="00E81A89">
      <w:pPr>
        <w:pStyle w:val="Odstavecseseznamem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Overte platnosť Lambertovho a Beerovho zákona:</w:t>
      </w:r>
    </w:p>
    <w:p w:rsidR="00E81A89" w:rsidRDefault="00E81A89" w:rsidP="00E81A89">
      <w:pPr>
        <w:pStyle w:val="Odstavecseseznamem"/>
        <w:numPr>
          <w:ilvl w:val="2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vynesením funkčnej závislosti A= f(c),</w:t>
      </w:r>
    </w:p>
    <w:p w:rsidR="00E81A89" w:rsidRDefault="00E81A89" w:rsidP="00E81A89">
      <w:pPr>
        <w:pStyle w:val="Odstavecseseznamem"/>
        <w:numPr>
          <w:ilvl w:val="2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vynesením funkčnej závislosti A= f(l).</w:t>
      </w:r>
    </w:p>
    <w:p w:rsidR="00E81A89" w:rsidRPr="00E81A89" w:rsidRDefault="00E81A89" w:rsidP="00E81A89">
      <w:pPr>
        <w:pStyle w:val="Odstavecseseznamem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Stanovte absorpčný koeficient ε.</w:t>
      </w:r>
    </w:p>
    <w:p w:rsidR="0050018E" w:rsidRDefault="0050018E" w:rsidP="009055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5CE">
        <w:rPr>
          <w:rFonts w:ascii="Times New Roman" w:hAnsi="Times New Roman" w:cs="Times New Roman"/>
          <w:b/>
          <w:sz w:val="24"/>
          <w:szCs w:val="24"/>
        </w:rPr>
        <w:t>Teoretický princíp:</w:t>
      </w:r>
    </w:p>
    <w:p w:rsidR="00E81A89" w:rsidRPr="00E81A89" w:rsidRDefault="00E81A89" w:rsidP="00E81A89">
      <w:pPr>
        <w:pStyle w:val="Bezmezer"/>
        <w:spacing w:line="276" w:lineRule="auto"/>
        <w:ind w:firstLine="708"/>
        <w:jc w:val="both"/>
        <w:rPr>
          <w:rFonts w:eastAsiaTheme="minorEastAsia" w:cs="Times New Roman"/>
        </w:rPr>
      </w:pPr>
      <w:r w:rsidRPr="00E81A89">
        <w:rPr>
          <w:rFonts w:cs="Times New Roman"/>
        </w:rPr>
        <w:t>Vzťah medzi absorpciou žiarenia, koncentráciou absorbujúcej látky c a hrúbkou vrstvy absorbujúceho prostredia l je vyjadrený Lambertovým a Beerovým zákonom:</w:t>
      </w:r>
      <w:r w:rsidRPr="00E81A89">
        <w:rPr>
          <w:rFonts w:eastAsiaTheme="minorEastAsia" w:cs="Times New Roman"/>
        </w:rPr>
        <w:t xml:space="preserve">           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cs="Times New Roman"/>
          </w:rPr>
          <m:t>=</m:t>
        </m:r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cs="Times New Roman"/>
              </w:rPr>
              <m:t>I</m:t>
            </m:r>
          </m:e>
          <m:sub>
            <m:r>
              <w:rPr>
                <w:rFonts w:ascii="Cambria Math" w:cs="Times New Roman"/>
              </w:rPr>
              <m:t>0</m:t>
            </m:r>
          </m:sub>
        </m:sSub>
        <m:r>
          <w:rPr>
            <w:rFonts w:ascii="Cambria Math" w:cs="Times New Roman"/>
          </w:rPr>
          <m:t>.1</m:t>
        </m:r>
        <m:sSup>
          <m:sSupPr>
            <m:ctrlPr>
              <w:rPr>
                <w:rFonts w:ascii="Cambria Math" w:cs="Times New Roman"/>
                <w:i/>
              </w:rPr>
            </m:ctrlPr>
          </m:sSupPr>
          <m:e>
            <m:r>
              <w:rPr>
                <w:rFonts w:ascii="Cambria Math" w:cs="Times New Roman"/>
              </w:rPr>
              <m:t>0</m:t>
            </m:r>
          </m:e>
          <m:sup>
            <m:r>
              <w:rPr>
                <w:rFonts w:cs="Times New Roman"/>
              </w:rPr>
              <m:t>-</m:t>
            </m:r>
            <m:r>
              <w:rPr>
                <w:rFonts w:ascii="Cambria Math" w:hAnsi="Cambria Math" w:cs="Times New Roman"/>
              </w:rPr>
              <m:t>εcl</m:t>
            </m:r>
          </m:sup>
        </m:sSup>
      </m:oMath>
      <w:r w:rsidRPr="00E81A89">
        <w:rPr>
          <w:rFonts w:eastAsiaTheme="minorEastAsia" w:cs="Times New Roman"/>
        </w:rPr>
        <w:t>, kde I</w:t>
      </w:r>
      <w:r w:rsidRPr="00E81A89">
        <w:rPr>
          <w:rFonts w:eastAsiaTheme="minorEastAsia" w:cs="Times New Roman"/>
          <w:vertAlign w:val="subscript"/>
        </w:rPr>
        <w:t>0</w:t>
      </w:r>
      <w:r w:rsidRPr="00E81A89">
        <w:rPr>
          <w:rFonts w:eastAsiaTheme="minorEastAsia" w:cs="Times New Roman"/>
        </w:rPr>
        <w:t xml:space="preserve"> je intenzita žiarenia dopadajúceho na vzorku, I je intenzita žiarenia vystupujúceho zo vzorky a ε je mólový alebo merný absorpčný koeficient. </w:t>
      </w:r>
    </w:p>
    <w:p w:rsidR="00E81A89" w:rsidRDefault="00E81A89" w:rsidP="00E81A89">
      <w:pPr>
        <w:pStyle w:val="Bezmezer"/>
        <w:spacing w:line="276" w:lineRule="auto"/>
        <w:jc w:val="both"/>
        <w:rPr>
          <w:rFonts w:eastAsiaTheme="minorEastAsia" w:cs="Times New Roman"/>
        </w:rPr>
      </w:pPr>
    </w:p>
    <w:p w:rsidR="00E81A89" w:rsidRPr="00E81A89" w:rsidRDefault="00E81A89" w:rsidP="00E81A89">
      <w:pPr>
        <w:pStyle w:val="Bezmezer"/>
        <w:spacing w:line="276" w:lineRule="auto"/>
        <w:jc w:val="both"/>
        <w:rPr>
          <w:rFonts w:eastAsiaTheme="minorEastAsia" w:cs="Times New Roman"/>
        </w:rPr>
      </w:pPr>
      <w:r w:rsidRPr="00E81A89">
        <w:rPr>
          <w:rFonts w:eastAsiaTheme="minorEastAsia" w:cs="Times New Roman"/>
        </w:rPr>
        <w:t>Podiel I/I</w:t>
      </w:r>
      <w:r w:rsidRPr="00E81A89">
        <w:rPr>
          <w:rFonts w:eastAsiaTheme="minorEastAsia" w:cs="Times New Roman"/>
          <w:vertAlign w:val="subscript"/>
        </w:rPr>
        <w:t xml:space="preserve">0 </w:t>
      </w:r>
      <w:r w:rsidRPr="00E81A89">
        <w:rPr>
          <w:rFonts w:eastAsiaTheme="minorEastAsia" w:cs="Times New Roman"/>
        </w:rPr>
        <w:t xml:space="preserve">sa nazýva transmitancia T. </w:t>
      </w:r>
      <m:oMath>
        <m:r>
          <w:rPr>
            <w:rFonts w:ascii="Cambria Math" w:eastAsiaTheme="minorEastAsia" w:hAnsi="Cambria Math" w:cs="Times New Roman"/>
          </w:rPr>
          <m:t>T</m:t>
        </m:r>
        <m:r>
          <w:rPr>
            <w:rFonts w:ascii="Cambria Math" w:eastAsiaTheme="minorEastAsia" w:cs="Times New Roman"/>
          </w:rPr>
          <m:t>=</m:t>
        </m:r>
        <m:f>
          <m:fPr>
            <m:ctrlPr>
              <w:rPr>
                <w:rFonts w:ascii="Cambria Math" w:eastAsiaTheme="minorEastAsia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I</m:t>
            </m:r>
          </m:num>
          <m:den>
            <m:sSub>
              <m:sSubPr>
                <m:ctrlPr>
                  <w:rPr>
                    <w:rFonts w:ascii="Cambria Math" w:eastAsiaTheme="minorEastAsia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cs="Times New Roman"/>
                  </w:rPr>
                  <m:t>0</m:t>
                </m:r>
              </m:sub>
            </m:sSub>
          </m:den>
        </m:f>
        <m:r>
          <w:rPr>
            <w:rFonts w:ascii="Cambria Math" w:eastAsiaTheme="minorEastAsia" w:cs="Times New Roman"/>
          </w:rPr>
          <m:t xml:space="preserve">= </m:t>
        </m:r>
        <m:r>
          <w:rPr>
            <w:rFonts w:ascii="Cambria Math" w:cs="Times New Roman"/>
          </w:rPr>
          <m:t>1</m:t>
        </m:r>
        <m:sSup>
          <m:sSupPr>
            <m:ctrlPr>
              <w:rPr>
                <w:rFonts w:ascii="Cambria Math" w:cs="Times New Roman"/>
                <w:i/>
              </w:rPr>
            </m:ctrlPr>
          </m:sSupPr>
          <m:e>
            <m:r>
              <w:rPr>
                <w:rFonts w:ascii="Cambria Math" w:cs="Times New Roman"/>
              </w:rPr>
              <m:t>0</m:t>
            </m:r>
          </m:e>
          <m:sup>
            <m:r>
              <w:rPr>
                <w:rFonts w:cs="Times New Roman"/>
              </w:rPr>
              <m:t>-</m:t>
            </m:r>
            <m:r>
              <w:rPr>
                <w:rFonts w:ascii="Cambria Math" w:hAnsi="Cambria Math" w:cs="Times New Roman"/>
              </w:rPr>
              <m:t>εcl</m:t>
            </m:r>
          </m:sup>
        </m:sSup>
        <m:r>
          <w:rPr>
            <w:rFonts w:ascii="Cambria Math" w:eastAsiaTheme="minorEastAsia" w:cs="Times New Roman"/>
          </w:rPr>
          <m:t xml:space="preserve">. </m:t>
        </m:r>
      </m:oMath>
      <w:r w:rsidRPr="00E81A89">
        <w:rPr>
          <w:rFonts w:eastAsiaTheme="minorEastAsia" w:cs="Times New Roman"/>
          <w:vertAlign w:val="subscript"/>
        </w:rPr>
        <w:t xml:space="preserve"> </w:t>
      </w:r>
    </w:p>
    <w:p w:rsidR="00E81A89" w:rsidRDefault="00E81A89" w:rsidP="00E81A89">
      <w:pPr>
        <w:pStyle w:val="Bezmezer"/>
        <w:spacing w:line="276" w:lineRule="auto"/>
        <w:jc w:val="both"/>
        <w:rPr>
          <w:rFonts w:eastAsiaTheme="minorEastAsia" w:cs="Times New Roman"/>
        </w:rPr>
      </w:pPr>
    </w:p>
    <w:p w:rsidR="00E81A89" w:rsidRDefault="00E81A89" w:rsidP="00E81A89">
      <w:pPr>
        <w:pStyle w:val="Bezmezer"/>
        <w:spacing w:line="276" w:lineRule="auto"/>
        <w:jc w:val="both"/>
        <w:rPr>
          <w:rFonts w:eastAsiaTheme="minorEastAsia" w:cs="Times New Roman"/>
        </w:rPr>
      </w:pPr>
      <w:r w:rsidRPr="00E81A89">
        <w:rPr>
          <w:rFonts w:eastAsiaTheme="minorEastAsia" w:cs="Times New Roman"/>
        </w:rPr>
        <w:t>Transmitancia môže nadobúdať hodnoty 0 až 1 a udáva sa v percentách.</w:t>
      </w:r>
    </w:p>
    <w:p w:rsidR="00E81A89" w:rsidRDefault="00E81A89" w:rsidP="00E81A89">
      <w:pPr>
        <w:pStyle w:val="Bezmezer"/>
        <w:spacing w:line="276" w:lineRule="auto"/>
        <w:jc w:val="both"/>
        <w:rPr>
          <w:rFonts w:eastAsiaTheme="minorEastAsia" w:cs="Times New Roman"/>
        </w:rPr>
      </w:pPr>
    </w:p>
    <w:p w:rsidR="00E81A89" w:rsidRPr="00E81A89" w:rsidRDefault="00E81A89" w:rsidP="00E81A89">
      <w:pPr>
        <w:pStyle w:val="Bezmezer"/>
        <w:spacing w:line="276" w:lineRule="auto"/>
        <w:jc w:val="both"/>
        <w:rPr>
          <w:rFonts w:eastAsiaTheme="minorEastAsia" w:cs="Times New Roman"/>
        </w:rPr>
      </w:pPr>
      <w:r w:rsidRPr="00E81A89">
        <w:rPr>
          <w:rFonts w:eastAsiaTheme="minorEastAsia" w:cs="Times New Roman"/>
        </w:rPr>
        <w:t xml:space="preserve">Dekadický logaritmus prevrátenej hodnoty transmitancie je absorbancia A.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cs="Times New Roman"/>
          </w:rPr>
          <m:t>=</m:t>
        </m:r>
        <m:r>
          <w:rPr>
            <w:rFonts w:ascii="Cambria Math" w:eastAsiaTheme="minorEastAsia" w:hAnsi="Cambria Math" w:cs="Times New Roman"/>
          </w:rPr>
          <m:t>log</m:t>
        </m:r>
        <m:f>
          <m:fPr>
            <m:ctrlPr>
              <w:rPr>
                <w:rFonts w:ascii="Cambria Math" w:eastAsiaTheme="minorEastAsia" w:cs="Times New Roman"/>
                <w:i/>
              </w:rPr>
            </m:ctrlPr>
          </m:fPr>
          <m:num>
            <m:r>
              <w:rPr>
                <w:rFonts w:ascii="Cambria Math" w:eastAsiaTheme="minorEastAsia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T</m:t>
            </m:r>
          </m:den>
        </m:f>
        <m:r>
          <w:rPr>
            <w:rFonts w:ascii="Cambria Math" w:eastAsiaTheme="minorEastAsia" w:cs="Times New Roman"/>
          </w:rPr>
          <m:t>=</m:t>
        </m:r>
        <m:r>
          <w:rPr>
            <w:rFonts w:ascii="Cambria Math" w:eastAsiaTheme="minorEastAsia" w:cs="Times New Roman"/>
          </w:rPr>
          <m:t>-</m:t>
        </m:r>
        <m:r>
          <w:rPr>
            <w:rFonts w:ascii="Cambria Math" w:eastAsiaTheme="minorEastAsia" w:hAnsi="Cambria Math" w:cs="Times New Roman"/>
          </w:rPr>
          <m:t>logT</m:t>
        </m:r>
        <m:r>
          <w:rPr>
            <w:rFonts w:ascii="Cambria Math" w:eastAsiaTheme="minorEastAsia" w:cs="Times New Roman"/>
          </w:rPr>
          <m:t>=</m:t>
        </m:r>
        <m:r>
          <m:rPr>
            <m:sty m:val="p"/>
          </m:rPr>
          <w:rPr>
            <w:rFonts w:ascii="Cambria Math" w:eastAsiaTheme="minorEastAsia" w:cs="Times New Roman"/>
          </w:rPr>
          <m:t>ε</m:t>
        </m:r>
        <m:r>
          <m:rPr>
            <m:sty m:val="p"/>
          </m:rPr>
          <w:rPr>
            <w:rFonts w:ascii="Cambria Math" w:eastAsiaTheme="minorEastAsia" w:cs="Times New Roman"/>
          </w:rPr>
          <m:t>.c.l</m:t>
        </m:r>
      </m:oMath>
    </w:p>
    <w:p w:rsidR="00E81A89" w:rsidRDefault="00E81A89" w:rsidP="00E81A89">
      <w:pPr>
        <w:pStyle w:val="Bezmezer"/>
        <w:spacing w:line="276" w:lineRule="auto"/>
        <w:jc w:val="both"/>
        <w:rPr>
          <w:rFonts w:eastAsiaTheme="minorEastAsia" w:cs="Times New Roman"/>
        </w:rPr>
      </w:pPr>
    </w:p>
    <w:p w:rsidR="00E81A89" w:rsidRPr="00E81A89" w:rsidRDefault="00E81A89" w:rsidP="00E81A89">
      <w:pPr>
        <w:pStyle w:val="Bezmezer"/>
        <w:spacing w:line="276" w:lineRule="auto"/>
        <w:jc w:val="both"/>
        <w:rPr>
          <w:rFonts w:eastAsiaTheme="minorEastAsia" w:cs="Times New Roman"/>
        </w:rPr>
      </w:pPr>
      <w:r w:rsidRPr="00E81A89">
        <w:rPr>
          <w:rFonts w:eastAsiaTheme="minorEastAsia" w:cs="Times New Roman"/>
        </w:rPr>
        <w:t xml:space="preserve">Absorbancia A má hodnoty 0 až ∞. Pre neabsorbujúce roztoky platí: A=0, T=100% a pre úplne absorbujúce A=∞, T=0%. </w:t>
      </w:r>
    </w:p>
    <w:p w:rsidR="00E81A89" w:rsidRDefault="00E81A89" w:rsidP="00E81A89">
      <w:pPr>
        <w:pStyle w:val="Bezmezer"/>
        <w:spacing w:line="276" w:lineRule="auto"/>
        <w:jc w:val="both"/>
        <w:rPr>
          <w:rFonts w:eastAsiaTheme="minorEastAsia" w:cs="Times New Roman"/>
        </w:rPr>
      </w:pPr>
    </w:p>
    <w:p w:rsidR="00E81A89" w:rsidRPr="00E81A89" w:rsidRDefault="00E81A89" w:rsidP="00E81A89">
      <w:pPr>
        <w:pStyle w:val="Bezmezer"/>
        <w:spacing w:line="276" w:lineRule="auto"/>
        <w:jc w:val="both"/>
        <w:rPr>
          <w:rFonts w:eastAsiaTheme="minorEastAsia" w:cs="Times New Roman"/>
        </w:rPr>
      </w:pPr>
      <w:r w:rsidRPr="00E81A89">
        <w:rPr>
          <w:rFonts w:eastAsiaTheme="minorEastAsia" w:cs="Times New Roman"/>
        </w:rPr>
        <w:t xml:space="preserve">Absorbancia je aditívna funkcia, preto, keď je v roztoku prítomných viac absorbujúcich látok platí: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cs="Times New Roman"/>
          </w:rPr>
          <m:t>=</m:t>
        </m:r>
        <m:r>
          <w:rPr>
            <w:rFonts w:ascii="Cambria Math" w:eastAsiaTheme="minorEastAsia" w:hAnsi="Cambria Math" w:cs="Times New Roman"/>
          </w:rPr>
          <m:t>l</m:t>
        </m:r>
        <m:r>
          <w:rPr>
            <w:rFonts w:ascii="Cambria Math" w:eastAsiaTheme="minorEastAsia" w:cs="Times New Roman"/>
          </w:rPr>
          <m:t>.</m:t>
        </m:r>
        <m:nary>
          <m:naryPr>
            <m:chr m:val="∑"/>
            <m:limLoc m:val="undOvr"/>
            <m:ctrlPr>
              <w:rPr>
                <w:rFonts w:ascii="Cambria Math" w:eastAsiaTheme="minorEastAsia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a</m:t>
            </m:r>
          </m:sup>
          <m:e>
            <m:sSub>
              <m:sSubPr>
                <m:ctrlPr>
                  <w:rPr>
                    <w:rFonts w:ascii="Cambria Math" w:eastAsiaTheme="minorEastAsia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cs="Times New Roman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 w:rsidRPr="00E81A89">
        <w:rPr>
          <w:rFonts w:eastAsiaTheme="minorEastAsia" w:cs="Times New Roman"/>
        </w:rPr>
        <w:t>.</w:t>
      </w:r>
    </w:p>
    <w:p w:rsidR="00E81A89" w:rsidRDefault="00E81A89" w:rsidP="00E81A89">
      <w:pPr>
        <w:pStyle w:val="Bezmezer"/>
        <w:spacing w:line="276" w:lineRule="auto"/>
        <w:jc w:val="both"/>
        <w:rPr>
          <w:rFonts w:eastAsiaTheme="minorEastAsia" w:cs="Times New Roman"/>
        </w:rPr>
      </w:pPr>
    </w:p>
    <w:p w:rsidR="00E81A89" w:rsidRPr="00E81A89" w:rsidRDefault="00E81A89" w:rsidP="00E81A89">
      <w:pPr>
        <w:pStyle w:val="Bezmezer"/>
        <w:spacing w:line="276" w:lineRule="auto"/>
        <w:jc w:val="both"/>
        <w:rPr>
          <w:rFonts w:eastAsiaTheme="minorEastAsia" w:cs="Times New Roman"/>
        </w:rPr>
      </w:pPr>
      <w:r w:rsidRPr="00E81A89">
        <w:rPr>
          <w:rFonts w:eastAsiaTheme="minorEastAsia" w:cs="Times New Roman"/>
        </w:rPr>
        <w:t>Lambertov a Beerov zákon platí pre zriedené roztoky c&lt;10</w:t>
      </w:r>
      <w:r w:rsidRPr="00E81A89">
        <w:rPr>
          <w:rFonts w:eastAsiaTheme="minorEastAsia" w:cs="Times New Roman"/>
          <w:vertAlign w:val="superscript"/>
        </w:rPr>
        <w:t>-2</w:t>
      </w:r>
      <w:r w:rsidRPr="00E81A89">
        <w:rPr>
          <w:rFonts w:eastAsiaTheme="minorEastAsia" w:cs="Times New Roman"/>
        </w:rPr>
        <w:t>mol.dm</w:t>
      </w:r>
      <w:r w:rsidRPr="00E81A89">
        <w:rPr>
          <w:rFonts w:eastAsiaTheme="minorEastAsia" w:cs="Times New Roman"/>
          <w:vertAlign w:val="superscript"/>
        </w:rPr>
        <w:t>-3</w:t>
      </w:r>
      <w:r w:rsidRPr="00E81A89">
        <w:rPr>
          <w:rFonts w:eastAsiaTheme="minorEastAsia" w:cs="Times New Roman"/>
        </w:rPr>
        <w:t>. Pri vyšších koncentráciách je závislosť ovplyvnená aj zmenami indexu lomu meraného roztoku.</w:t>
      </w:r>
    </w:p>
    <w:p w:rsidR="00E81A89" w:rsidRDefault="00E81A89" w:rsidP="00E81A89">
      <w:pPr>
        <w:pStyle w:val="Bezmezer"/>
        <w:spacing w:line="276" w:lineRule="auto"/>
        <w:jc w:val="both"/>
        <w:rPr>
          <w:rFonts w:cs="Times New Roman"/>
          <w:bCs/>
          <w:szCs w:val="24"/>
        </w:rPr>
      </w:pPr>
      <w:r w:rsidRPr="00E81A89">
        <w:rPr>
          <w:rFonts w:eastAsiaTheme="minorEastAsia" w:cs="Times New Roman"/>
        </w:rPr>
        <w:t xml:space="preserve">Pri meraní sa používa svetlo takej vlnovej dĺžky  </w:t>
      </w:r>
      <w:r w:rsidRPr="00E81A89">
        <w:rPr>
          <w:rFonts w:cs="Times New Roman"/>
          <w:bCs/>
          <w:szCs w:val="24"/>
        </w:rPr>
        <w:t xml:space="preserve">λ, ktoré je skúmaným farebným roztokom najviac absorbované. </w:t>
      </w:r>
    </w:p>
    <w:p w:rsidR="00FA38A4" w:rsidRPr="00E81A89" w:rsidRDefault="005F4322" w:rsidP="00E81A89">
      <w:pPr>
        <w:pStyle w:val="Bezmezer"/>
        <w:spacing w:line="276" w:lineRule="auto"/>
        <w:jc w:val="both"/>
        <w:rPr>
          <w:rFonts w:cs="Times New Roman"/>
          <w:bCs/>
          <w:szCs w:val="24"/>
        </w:rPr>
      </w:pPr>
      <w:r w:rsidRPr="009055CE">
        <w:rPr>
          <w:rFonts w:cs="Times New Roman"/>
          <w:b/>
          <w:szCs w:val="24"/>
        </w:rPr>
        <w:lastRenderedPageBreak/>
        <w:t>Potreby:</w:t>
      </w:r>
    </w:p>
    <w:p w:rsidR="00AC0851" w:rsidRPr="00AC0851" w:rsidRDefault="00E81A89" w:rsidP="00905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Fotokolorimeter, zásobné roztoky KMnO</w:t>
      </w:r>
      <w:r w:rsidRPr="00E81A89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vhodnej koncentrácie, odmerné banky, pipety</w:t>
      </w:r>
      <w:r w:rsidR="00AC0851">
        <w:rPr>
          <w:rFonts w:ascii="Times New Roman" w:hAnsi="Times New Roman" w:cs="Times New Roman"/>
          <w:sz w:val="24"/>
          <w:szCs w:val="24"/>
        </w:rPr>
        <w:t>.</w:t>
      </w:r>
    </w:p>
    <w:p w:rsidR="008B5A4C" w:rsidRDefault="005F4322" w:rsidP="00E81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5CE">
        <w:rPr>
          <w:rFonts w:ascii="Times New Roman" w:hAnsi="Times New Roman" w:cs="Times New Roman"/>
          <w:b/>
          <w:sz w:val="24"/>
          <w:szCs w:val="24"/>
        </w:rPr>
        <w:t>Postup:</w:t>
      </w:r>
    </w:p>
    <w:p w:rsidR="001D6838" w:rsidRPr="001D6838" w:rsidRDefault="00E81A89" w:rsidP="001D6838">
      <w:pPr>
        <w:pStyle w:val="Odstavecseseznamem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Pripravíme si jednotlivé roztoky postupným zrieďovaním zásobného roztoku KMnO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 koncentráciou </w:t>
      </w:r>
      <w:r w:rsidR="007F569B">
        <w:rPr>
          <w:rFonts w:ascii="Times New Roman" w:hAnsi="Times New Roman" w:cs="Times New Roman"/>
          <w:sz w:val="24"/>
          <w:szCs w:val="24"/>
        </w:rPr>
        <w:t>6.10</w:t>
      </w:r>
      <w:r w:rsidR="007F569B" w:rsidRPr="007F569B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="007F569B">
        <w:rPr>
          <w:rFonts w:ascii="Times New Roman" w:hAnsi="Times New Roman" w:cs="Times New Roman"/>
          <w:sz w:val="24"/>
          <w:szCs w:val="24"/>
        </w:rPr>
        <w:t xml:space="preserve"> mol.cm</w:t>
      </w:r>
      <w:r w:rsidR="007F569B" w:rsidRPr="007F569B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1D6838">
        <w:rPr>
          <w:rFonts w:ascii="Times New Roman" w:hAnsi="Times New Roman" w:cs="Times New Roman"/>
          <w:sz w:val="24"/>
          <w:szCs w:val="24"/>
        </w:rPr>
        <w:t xml:space="preserve"> do 50 ml odmerných baniek podľa nasledujúcich pomerov 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1D6838" w:rsidRPr="001D6838">
        <w:rPr>
          <w:rFonts w:ascii="Times New Roman" w:hAnsi="Times New Roman" w:cs="Times New Roman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="001D6838" w:rsidRPr="001D6838">
        <w:rPr>
          <w:rFonts w:ascii="Times New Roman" w:hAnsi="Times New Roman" w:cs="Times New Roman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="001D6838" w:rsidRPr="001D6838">
        <w:rPr>
          <w:rFonts w:ascii="Times New Roman" w:hAnsi="Times New Roman" w:cs="Times New Roman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 w:rsidR="001D6838" w:rsidRPr="001D6838">
        <w:rPr>
          <w:rFonts w:ascii="Times New Roman" w:hAnsi="Times New Roman" w:cs="Times New Roman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</m:oMath>
      <w:r w:rsidR="001D6838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D6838" w:rsidRDefault="001D6838" w:rsidP="001D6838">
      <w:pPr>
        <w:pStyle w:val="Odstavecseseznamem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Vezmeme si dve kyvety rovnakej hrúbky a do jednej nalejeme destilovanú vodu a do druhej nalejeme roztok so strednou hodnotou koncentrácie.</w:t>
      </w:r>
    </w:p>
    <w:p w:rsidR="001D6838" w:rsidRDefault="001D6838" w:rsidP="001D6838">
      <w:pPr>
        <w:pStyle w:val="Odstavecseseznamem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Meriame roztok pri počiatočnej vlnovej dĺžke 400 nm, ktorú zvyšujeme po 10 nm až po 600 nm.</w:t>
      </w:r>
    </w:p>
    <w:p w:rsidR="001D6838" w:rsidRDefault="001D6838" w:rsidP="001D6838">
      <w:pPr>
        <w:pStyle w:val="Odstavecseseznamem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838">
        <w:rPr>
          <w:rFonts w:ascii="Times New Roman" w:hAnsi="Times New Roman" w:cs="Times New Roman"/>
          <w:sz w:val="24"/>
          <w:szCs w:val="24"/>
        </w:rPr>
        <w:t>Menením vlnovej dĺžky žiarenia zisťujeme príslušné absorbancie A, na základe ktorých sa vynesie závislosť A = f(</w:t>
      </w:r>
      <w:r w:rsidRPr="001D6838">
        <w:rPr>
          <w:rFonts w:ascii="Times New Roman" w:hAnsi="Times New Roman" w:cs="Times New Roman"/>
          <w:bCs/>
          <w:sz w:val="24"/>
          <w:szCs w:val="24"/>
        </w:rPr>
        <w:t>λ)</w:t>
      </w:r>
      <w:r w:rsidRPr="001D6838">
        <w:rPr>
          <w:rFonts w:ascii="Times New Roman" w:hAnsi="Times New Roman" w:cs="Times New Roman"/>
          <w:sz w:val="24"/>
          <w:szCs w:val="24"/>
        </w:rPr>
        <w:t xml:space="preserve"> pri strednej hrúbke kyvety a pre strednú koncentráciu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6838" w:rsidRPr="001D6838" w:rsidRDefault="001D6838" w:rsidP="001D6838">
      <w:pPr>
        <w:pStyle w:val="Odstavecseseznamem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838">
        <w:rPr>
          <w:rFonts w:ascii="Times New Roman" w:hAnsi="Times New Roman" w:cs="Times New Roman"/>
          <w:sz w:val="24"/>
          <w:szCs w:val="24"/>
        </w:rPr>
        <w:t>Pre ďalšie meranie sa volí filter s takou vlnovou dĺžkou, pri ktorej pre danú látku dochádza k maximálnej absorpcii žiarenia. Závislosť A = f(c) meriame so zvoleným filtrom, pričom hrúbka vrstvy absorbujúceho prostredia ostáva konštantná.</w:t>
      </w:r>
    </w:p>
    <w:p w:rsidR="001D6838" w:rsidRPr="001D6838" w:rsidRDefault="001D6838" w:rsidP="001D6838">
      <w:pPr>
        <w:pStyle w:val="Odstavecseseznamem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838">
        <w:rPr>
          <w:rFonts w:ascii="Times New Roman" w:hAnsi="Times New Roman" w:cs="Times New Roman"/>
          <w:sz w:val="24"/>
          <w:szCs w:val="24"/>
        </w:rPr>
        <w:t>Meriame závislosť absorbancie od koncentrácie, pričom používame kyvetu so strednou hrúbkou.</w:t>
      </w:r>
    </w:p>
    <w:p w:rsidR="001D6838" w:rsidRPr="001D6838" w:rsidRDefault="001D6838" w:rsidP="001D6838">
      <w:pPr>
        <w:pStyle w:val="Odstavecseseznamem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838">
        <w:rPr>
          <w:rFonts w:ascii="Times New Roman" w:hAnsi="Times New Roman" w:cs="Times New Roman"/>
          <w:sz w:val="24"/>
          <w:szCs w:val="24"/>
        </w:rPr>
        <w:t>Závislosť A = f(l) meriame s piatimi kyvetami s rôznou hrúbkou absorbujúceho prostredia, pričom koncentrácia a vlnová dĺžka s nemení.</w:t>
      </w:r>
    </w:p>
    <w:p w:rsidR="00C50932" w:rsidRDefault="00C50932" w:rsidP="009055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5CE">
        <w:rPr>
          <w:rFonts w:ascii="Times New Roman" w:hAnsi="Times New Roman" w:cs="Times New Roman"/>
          <w:b/>
          <w:sz w:val="24"/>
          <w:szCs w:val="24"/>
        </w:rPr>
        <w:t>Výsledky:</w:t>
      </w:r>
    </w:p>
    <w:p w:rsidR="003543A1" w:rsidRDefault="003543A1" w:rsidP="003543A1">
      <w:pPr>
        <w:rPr>
          <w:rFonts w:ascii="Times New Roman" w:hAnsi="Times New Roman" w:cs="Times New Roman"/>
          <w:sz w:val="24"/>
        </w:rPr>
      </w:pPr>
      <w:r w:rsidRPr="00964221">
        <w:rPr>
          <w:rFonts w:ascii="Times New Roman" w:hAnsi="Times New Roman" w:cs="Times New Roman"/>
          <w:b/>
          <w:sz w:val="28"/>
          <w:szCs w:val="24"/>
        </w:rPr>
        <w:t>A = f(</w:t>
      </w:r>
      <w:r w:rsidRPr="00964221">
        <w:rPr>
          <w:rFonts w:ascii="Times New Roman" w:hAnsi="Times New Roman" w:cs="Times New Roman"/>
          <w:b/>
          <w:bCs/>
          <w:sz w:val="28"/>
          <w:szCs w:val="24"/>
        </w:rPr>
        <w:t>λ)</w:t>
      </w:r>
      <w:r w:rsidRPr="00964221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t>Zlúčenina: KMnO</w:t>
      </w:r>
      <w:r>
        <w:rPr>
          <w:rFonts w:ascii="Times New Roman" w:hAnsi="Times New Roman" w:cs="Times New Roman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t>, koncentrácia 1.10</w:t>
      </w:r>
      <w:r>
        <w:rPr>
          <w:rFonts w:ascii="Times New Roman" w:hAnsi="Times New Roman" w:cs="Times New Roman"/>
          <w:sz w:val="24"/>
          <w:vertAlign w:val="superscript"/>
        </w:rPr>
        <w:t>-4</w:t>
      </w:r>
      <w:r>
        <w:rPr>
          <w:rFonts w:ascii="Times New Roman" w:hAnsi="Times New Roman" w:cs="Times New Roman"/>
          <w:sz w:val="24"/>
        </w:rPr>
        <w:t xml:space="preserve"> mol.dm</w:t>
      </w:r>
      <w:r>
        <w:rPr>
          <w:rFonts w:ascii="Times New Roman" w:hAnsi="Times New Roman" w:cs="Times New Roman"/>
          <w:sz w:val="24"/>
          <w:vertAlign w:val="superscript"/>
        </w:rPr>
        <w:t>-3</w:t>
      </w:r>
      <w:r>
        <w:rPr>
          <w:rFonts w:ascii="Times New Roman" w:hAnsi="Times New Roman" w:cs="Times New Roman"/>
          <w:sz w:val="24"/>
        </w:rPr>
        <w:t>, l = 0,999 cm</w:t>
      </w:r>
    </w:p>
    <w:tbl>
      <w:tblPr>
        <w:tblW w:w="488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976"/>
        <w:gridCol w:w="976"/>
        <w:gridCol w:w="976"/>
        <w:gridCol w:w="976"/>
        <w:gridCol w:w="976"/>
      </w:tblGrid>
      <w:tr w:rsidR="003543A1" w:rsidRPr="003543A1" w:rsidTr="003543A1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λ [nm]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λ[nm]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</w:tr>
      <w:tr w:rsidR="003543A1" w:rsidRPr="003543A1" w:rsidTr="003543A1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0,11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0,19</w:t>
            </w:r>
          </w:p>
        </w:tc>
      </w:tr>
      <w:tr w:rsidR="003543A1" w:rsidRPr="003543A1" w:rsidTr="003543A1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0,22</w:t>
            </w:r>
          </w:p>
        </w:tc>
      </w:tr>
      <w:tr w:rsidR="003543A1" w:rsidRPr="003543A1" w:rsidTr="003543A1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0,09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0,22</w:t>
            </w:r>
          </w:p>
        </w:tc>
      </w:tr>
      <w:tr w:rsidR="003543A1" w:rsidRPr="003543A1" w:rsidTr="003543A1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0,09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0,21</w:t>
            </w:r>
          </w:p>
        </w:tc>
      </w:tr>
      <w:tr w:rsidR="003543A1" w:rsidRPr="003543A1" w:rsidTr="003543A1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0,08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0,19</w:t>
            </w:r>
          </w:p>
        </w:tc>
      </w:tr>
      <w:tr w:rsidR="003543A1" w:rsidRPr="003543A1" w:rsidTr="003543A1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0,08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0,14</w:t>
            </w:r>
          </w:p>
        </w:tc>
      </w:tr>
      <w:tr w:rsidR="003543A1" w:rsidRPr="003543A1" w:rsidTr="003543A1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0,09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0,12</w:t>
            </w:r>
          </w:p>
        </w:tc>
      </w:tr>
      <w:tr w:rsidR="003543A1" w:rsidRPr="003543A1" w:rsidTr="003543A1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0,07</w:t>
            </w:r>
          </w:p>
        </w:tc>
      </w:tr>
      <w:tr w:rsidR="003543A1" w:rsidRPr="003543A1" w:rsidTr="003543A1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0,12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</w:tr>
      <w:tr w:rsidR="003543A1" w:rsidRPr="003543A1" w:rsidTr="003543A1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0,14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</w:tr>
      <w:tr w:rsidR="003543A1" w:rsidRPr="003543A1" w:rsidTr="003543A1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0,17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3A1" w:rsidRPr="003543A1" w:rsidRDefault="003543A1" w:rsidP="00354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543A1" w:rsidRDefault="003543A1" w:rsidP="003543A1">
      <w:pPr>
        <w:rPr>
          <w:rFonts w:ascii="Times New Roman" w:hAnsi="Times New Roman" w:cs="Times New Roman"/>
          <w:sz w:val="24"/>
        </w:rPr>
      </w:pPr>
    </w:p>
    <w:p w:rsidR="003543A1" w:rsidRDefault="003543A1" w:rsidP="003543A1">
      <w:pPr>
        <w:rPr>
          <w:rFonts w:ascii="Times New Roman" w:hAnsi="Times New Roman" w:cs="Times New Roman"/>
          <w:sz w:val="24"/>
        </w:rPr>
      </w:pPr>
    </w:p>
    <w:p w:rsidR="003543A1" w:rsidRDefault="003543A1" w:rsidP="003543A1">
      <w:pPr>
        <w:rPr>
          <w:rFonts w:ascii="Times New Roman" w:hAnsi="Times New Roman" w:cs="Times New Roman"/>
          <w:sz w:val="24"/>
        </w:rPr>
      </w:pPr>
    </w:p>
    <w:p w:rsidR="003543A1" w:rsidRDefault="003543A1" w:rsidP="003543A1">
      <w:pPr>
        <w:rPr>
          <w:rFonts w:ascii="Times New Roman" w:hAnsi="Times New Roman" w:cs="Times New Roman"/>
          <w:sz w:val="24"/>
        </w:rPr>
      </w:pPr>
      <w:r w:rsidRPr="003543A1">
        <w:rPr>
          <w:rFonts w:ascii="Times New Roman" w:hAnsi="Times New Roman" w:cs="Times New Roman"/>
          <w:sz w:val="24"/>
        </w:rPr>
        <w:lastRenderedPageBreak/>
        <w:drawing>
          <wp:inline distT="0" distB="0" distL="0" distR="0">
            <wp:extent cx="4572000" cy="2790825"/>
            <wp:effectExtent l="19050" t="0" r="19050" b="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543A1" w:rsidRDefault="003543A1" w:rsidP="003543A1">
      <w:pPr>
        <w:rPr>
          <w:rFonts w:ascii="Times New Roman" w:hAnsi="Times New Roman" w:cs="Times New Roman"/>
          <w:sz w:val="24"/>
        </w:rPr>
      </w:pPr>
    </w:p>
    <w:p w:rsidR="000B731D" w:rsidRPr="00964221" w:rsidRDefault="000B731D" w:rsidP="000B731D">
      <w:pPr>
        <w:pStyle w:val="Bezmezer"/>
        <w:rPr>
          <w:rFonts w:eastAsiaTheme="minorEastAsia" w:cs="Times New Roman"/>
          <w:b/>
          <w:sz w:val="28"/>
        </w:rPr>
      </w:pPr>
      <w:r w:rsidRPr="00964221">
        <w:rPr>
          <w:rFonts w:eastAsiaTheme="minorEastAsia" w:cs="Times New Roman"/>
          <w:b/>
          <w:sz w:val="28"/>
        </w:rPr>
        <w:t>A = f(c)</w:t>
      </w:r>
    </w:p>
    <w:p w:rsidR="000B731D" w:rsidRDefault="000B731D" w:rsidP="000B731D">
      <w:pPr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>Zlúčenina: KMnO</w:t>
      </w:r>
      <w:r>
        <w:rPr>
          <w:rFonts w:ascii="Times New Roman" w:hAnsi="Times New Roman" w:cs="Times New Roman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t>, λ</w:t>
      </w:r>
      <w:r>
        <w:rPr>
          <w:rFonts w:ascii="Times New Roman" w:hAnsi="Times New Roman" w:cs="Times New Roman"/>
          <w:sz w:val="24"/>
          <w:vertAlign w:val="subscript"/>
        </w:rPr>
        <w:t>max</w:t>
      </w:r>
      <w:r>
        <w:rPr>
          <w:rFonts w:ascii="Times New Roman" w:hAnsi="Times New Roman" w:cs="Times New Roman"/>
          <w:sz w:val="24"/>
        </w:rPr>
        <w:t>=520 nm, l = 0,999 cm, koncentrácia základného roztoku 6.10</w:t>
      </w:r>
      <w:r>
        <w:rPr>
          <w:rFonts w:ascii="Times New Roman" w:hAnsi="Times New Roman" w:cs="Times New Roman"/>
          <w:sz w:val="24"/>
          <w:vertAlign w:val="superscript"/>
        </w:rPr>
        <w:t>-4</w:t>
      </w:r>
      <w:r>
        <w:rPr>
          <w:rFonts w:ascii="Times New Roman" w:hAnsi="Times New Roman" w:cs="Times New Roman"/>
          <w:sz w:val="24"/>
        </w:rPr>
        <w:t xml:space="preserve"> mol.dm</w:t>
      </w:r>
      <w:r>
        <w:rPr>
          <w:rFonts w:ascii="Times New Roman" w:hAnsi="Times New Roman" w:cs="Times New Roman"/>
          <w:sz w:val="24"/>
          <w:vertAlign w:val="superscript"/>
        </w:rPr>
        <w:t>-3</w:t>
      </w:r>
    </w:p>
    <w:tbl>
      <w:tblPr>
        <w:tblStyle w:val="Mkatabulky"/>
        <w:tblW w:w="0" w:type="auto"/>
        <w:jc w:val="center"/>
        <w:tblLayout w:type="fixed"/>
        <w:tblLook w:val="04A0"/>
      </w:tblPr>
      <w:tblGrid>
        <w:gridCol w:w="1101"/>
        <w:gridCol w:w="1275"/>
        <w:gridCol w:w="2268"/>
        <w:gridCol w:w="1560"/>
      </w:tblGrid>
      <w:tr w:rsidR="000B731D" w:rsidTr="00070AA7">
        <w:trPr>
          <w:jc w:val="center"/>
        </w:trPr>
        <w:tc>
          <w:tcPr>
            <w:tcW w:w="1101" w:type="dxa"/>
          </w:tcPr>
          <w:p w:rsidR="000B731D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Číslo merania</w:t>
            </w:r>
          </w:p>
        </w:tc>
        <w:tc>
          <w:tcPr>
            <w:tcW w:w="1275" w:type="dxa"/>
          </w:tcPr>
          <w:p w:rsidR="000B731D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Zriedenie</w:t>
            </w:r>
          </w:p>
        </w:tc>
        <w:tc>
          <w:tcPr>
            <w:tcW w:w="2268" w:type="dxa"/>
          </w:tcPr>
          <w:p w:rsidR="000B731D" w:rsidRPr="00B0105E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Koncentrácia (mol.dm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-3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60" w:type="dxa"/>
          </w:tcPr>
          <w:p w:rsidR="000B731D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0B731D" w:rsidTr="00070AA7">
        <w:trPr>
          <w:jc w:val="center"/>
        </w:trPr>
        <w:tc>
          <w:tcPr>
            <w:tcW w:w="1101" w:type="dxa"/>
          </w:tcPr>
          <w:p w:rsidR="000B731D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275" w:type="dxa"/>
          </w:tcPr>
          <w:p w:rsidR="000B731D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1:2</w:t>
            </w:r>
          </w:p>
        </w:tc>
        <w:tc>
          <w:tcPr>
            <w:tcW w:w="2268" w:type="dxa"/>
            <w:vAlign w:val="center"/>
          </w:tcPr>
          <w:p w:rsidR="000B731D" w:rsidRPr="00657A06" w:rsidRDefault="000B731D" w:rsidP="00070AA7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3.10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</w:tc>
        <w:tc>
          <w:tcPr>
            <w:tcW w:w="1560" w:type="dxa"/>
          </w:tcPr>
          <w:p w:rsidR="000B731D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0,66</w:t>
            </w:r>
          </w:p>
        </w:tc>
      </w:tr>
      <w:tr w:rsidR="000B731D" w:rsidTr="00070AA7">
        <w:trPr>
          <w:jc w:val="center"/>
        </w:trPr>
        <w:tc>
          <w:tcPr>
            <w:tcW w:w="1101" w:type="dxa"/>
          </w:tcPr>
          <w:p w:rsidR="000B731D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275" w:type="dxa"/>
          </w:tcPr>
          <w:p w:rsidR="000B731D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1:4</w:t>
            </w:r>
          </w:p>
        </w:tc>
        <w:tc>
          <w:tcPr>
            <w:tcW w:w="2268" w:type="dxa"/>
            <w:vAlign w:val="center"/>
          </w:tcPr>
          <w:p w:rsidR="000B731D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1,5.10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</w:tc>
        <w:tc>
          <w:tcPr>
            <w:tcW w:w="1560" w:type="dxa"/>
          </w:tcPr>
          <w:p w:rsidR="000B731D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0,33</w:t>
            </w:r>
          </w:p>
        </w:tc>
      </w:tr>
      <w:tr w:rsidR="000B731D" w:rsidTr="00070AA7">
        <w:trPr>
          <w:jc w:val="center"/>
        </w:trPr>
        <w:tc>
          <w:tcPr>
            <w:tcW w:w="1101" w:type="dxa"/>
          </w:tcPr>
          <w:p w:rsidR="000B731D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275" w:type="dxa"/>
          </w:tcPr>
          <w:p w:rsidR="000B731D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1:6</w:t>
            </w:r>
          </w:p>
        </w:tc>
        <w:tc>
          <w:tcPr>
            <w:tcW w:w="2268" w:type="dxa"/>
            <w:vAlign w:val="center"/>
          </w:tcPr>
          <w:p w:rsidR="000B731D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</w:tc>
        <w:tc>
          <w:tcPr>
            <w:tcW w:w="1560" w:type="dxa"/>
          </w:tcPr>
          <w:p w:rsidR="000B731D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0,22</w:t>
            </w:r>
          </w:p>
        </w:tc>
      </w:tr>
      <w:tr w:rsidR="000B731D" w:rsidTr="00070AA7">
        <w:trPr>
          <w:jc w:val="center"/>
        </w:trPr>
        <w:tc>
          <w:tcPr>
            <w:tcW w:w="1101" w:type="dxa"/>
          </w:tcPr>
          <w:p w:rsidR="000B731D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275" w:type="dxa"/>
          </w:tcPr>
          <w:p w:rsidR="000B731D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1:8</w:t>
            </w:r>
          </w:p>
        </w:tc>
        <w:tc>
          <w:tcPr>
            <w:tcW w:w="2268" w:type="dxa"/>
            <w:vAlign w:val="center"/>
          </w:tcPr>
          <w:p w:rsidR="000B731D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7,5.10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560" w:type="dxa"/>
          </w:tcPr>
          <w:p w:rsidR="000B731D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0,18</w:t>
            </w:r>
          </w:p>
        </w:tc>
      </w:tr>
      <w:tr w:rsidR="000B731D" w:rsidTr="00070AA7">
        <w:trPr>
          <w:jc w:val="center"/>
        </w:trPr>
        <w:tc>
          <w:tcPr>
            <w:tcW w:w="1101" w:type="dxa"/>
          </w:tcPr>
          <w:p w:rsidR="000B731D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275" w:type="dxa"/>
          </w:tcPr>
          <w:p w:rsidR="000B731D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1:10</w:t>
            </w:r>
          </w:p>
        </w:tc>
        <w:tc>
          <w:tcPr>
            <w:tcW w:w="2268" w:type="dxa"/>
            <w:vAlign w:val="center"/>
          </w:tcPr>
          <w:p w:rsidR="000B731D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560" w:type="dxa"/>
          </w:tcPr>
          <w:p w:rsidR="000B731D" w:rsidRDefault="000B731D" w:rsidP="00070A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0,14</w:t>
            </w:r>
          </w:p>
        </w:tc>
      </w:tr>
    </w:tbl>
    <w:p w:rsidR="003543A1" w:rsidRDefault="003543A1" w:rsidP="003543A1">
      <w:pPr>
        <w:rPr>
          <w:rFonts w:ascii="Times New Roman" w:hAnsi="Times New Roman" w:cs="Times New Roman"/>
          <w:sz w:val="24"/>
        </w:rPr>
      </w:pPr>
    </w:p>
    <w:p w:rsidR="000B731D" w:rsidRDefault="000B731D" w:rsidP="003543A1">
      <w:pPr>
        <w:rPr>
          <w:rFonts w:ascii="Times New Roman" w:hAnsi="Times New Roman" w:cs="Times New Roman"/>
          <w:sz w:val="24"/>
        </w:rPr>
      </w:pPr>
      <w:r w:rsidRPr="000B731D">
        <w:rPr>
          <w:rFonts w:ascii="Times New Roman" w:hAnsi="Times New Roman" w:cs="Times New Roman"/>
          <w:sz w:val="24"/>
        </w:rPr>
        <w:drawing>
          <wp:inline distT="0" distB="0" distL="0" distR="0">
            <wp:extent cx="4229100" cy="2486025"/>
            <wp:effectExtent l="19050" t="0" r="19050" b="0"/>
            <wp:docPr id="3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B731D" w:rsidRDefault="000B731D" w:rsidP="003543A1">
      <w:pPr>
        <w:rPr>
          <w:rFonts w:ascii="Times New Roman" w:hAnsi="Times New Roman" w:cs="Times New Roman"/>
          <w:sz w:val="24"/>
        </w:rPr>
      </w:pPr>
    </w:p>
    <w:p w:rsidR="000B731D" w:rsidRDefault="000B731D" w:rsidP="003543A1">
      <w:pPr>
        <w:rPr>
          <w:rFonts w:ascii="Times New Roman" w:hAnsi="Times New Roman" w:cs="Times New Roman"/>
          <w:sz w:val="24"/>
        </w:rPr>
      </w:pPr>
    </w:p>
    <w:p w:rsidR="000B731D" w:rsidRPr="00964221" w:rsidRDefault="000B731D" w:rsidP="000B731D">
      <w:pPr>
        <w:pStyle w:val="Bezmezer"/>
        <w:rPr>
          <w:rFonts w:eastAsiaTheme="minorEastAsia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w:lastRenderedPageBreak/>
          <m:t>ε=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c.l</m:t>
            </m:r>
          </m:den>
        </m:f>
      </m:oMath>
      <w:r w:rsidRPr="00873C7E">
        <w:rPr>
          <w:rFonts w:eastAsiaTheme="minorEastAsia" w:cs="Times New Roman"/>
          <w:sz w:val="32"/>
          <w:szCs w:val="32"/>
        </w:rPr>
        <w:t xml:space="preserve">  </w:t>
      </w:r>
      <w:r>
        <w:rPr>
          <w:rFonts w:eastAsiaTheme="minorEastAsia" w:cs="Times New Roman"/>
          <w:sz w:val="32"/>
          <w:szCs w:val="32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smernica</m:t>
            </m:r>
          </m:den>
        </m:f>
      </m:oMath>
      <w:r>
        <w:rPr>
          <w:rFonts w:eastAsiaTheme="minorEastAsia" w:cs="Times New Roman"/>
          <w:sz w:val="32"/>
          <w:szCs w:val="32"/>
        </w:rPr>
        <w:t xml:space="preserve">   </w:t>
      </w:r>
      <m:oMath>
        <m:r>
          <w:rPr>
            <w:rFonts w:ascii="Cambria Math" w:eastAsiaTheme="minorEastAsia" w:hAnsi="Cambria Math" w:cs="Times New Roman"/>
          </w:rPr>
          <m:t>⟹</m:t>
        </m:r>
      </m:oMath>
      <w:r>
        <w:rPr>
          <w:rFonts w:eastAsiaTheme="minorEastAsia" w:cs="Times New Roman"/>
        </w:rPr>
        <w:t xml:space="preserve">  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 </m:t>
        </m:r>
        <m:r>
          <w:rPr>
            <w:rFonts w:ascii="Cambria Math" w:hAnsi="Cambria Math" w:cs="Times New Roman"/>
            <w:szCs w:val="24"/>
          </w:rPr>
          <m:t>ε</m:t>
        </m:r>
        <m:r>
          <w:rPr>
            <w:rFonts w:ascii="Cambria Math" w:eastAsiaTheme="minorEastAsia" w:hAnsi="Cambria Math" w:cs="Times New Roman"/>
            <w:szCs w:val="24"/>
          </w:rPr>
          <m:t>.l=smernica</m:t>
        </m:r>
      </m:oMath>
      <w:r w:rsidRPr="00964221">
        <w:rPr>
          <w:rFonts w:eastAsiaTheme="minorEastAsia" w:cs="Times New Roman"/>
          <w:sz w:val="32"/>
        </w:rPr>
        <w:t xml:space="preserve">  </w:t>
      </w:r>
    </w:p>
    <w:p w:rsidR="000B731D" w:rsidRPr="00964221" w:rsidRDefault="000B731D" w:rsidP="000B731D">
      <w:pPr>
        <w:pStyle w:val="Bezmezer"/>
        <w:rPr>
          <w:rFonts w:eastAsiaTheme="minorEastAsia" w:cs="Times New Roman"/>
          <w:sz w:val="32"/>
        </w:rPr>
      </w:pPr>
    </w:p>
    <w:p w:rsidR="000B731D" w:rsidRDefault="000B731D" w:rsidP="000B731D">
      <w:pPr>
        <w:pStyle w:val="Bezmezer"/>
        <w:rPr>
          <w:rFonts w:eastAsiaTheme="minorEastAsia" w:cs="Times New Roman"/>
          <w:color w:val="FF0000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color w:val="FF0000"/>
              <w:szCs w:val="24"/>
            </w:rPr>
            <m:t>ε</m:t>
          </m:r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smernica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2159 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</w:rPr>
                <m:t>.mo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0,0999dm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Cs w:val="24"/>
            </w:rPr>
            <m:t>21 611,61 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  <w:szCs w:val="24"/>
            </w:rPr>
            <m:t>.mo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Cs w:val="24"/>
                </w:rPr>
                <m:t>-1</m:t>
              </m:r>
            </m:sup>
          </m:sSup>
        </m:oMath>
      </m:oMathPara>
    </w:p>
    <w:p w:rsidR="000B731D" w:rsidRDefault="000B731D" w:rsidP="000B731D">
      <w:pPr>
        <w:pStyle w:val="Bezmezer"/>
        <w:rPr>
          <w:rFonts w:eastAsiaTheme="minorEastAsia" w:cs="Times New Roman"/>
          <w:color w:val="FF0000"/>
          <w:szCs w:val="24"/>
        </w:rPr>
      </w:pPr>
    </w:p>
    <w:p w:rsidR="000B731D" w:rsidRPr="00964221" w:rsidRDefault="000B731D" w:rsidP="000B731D">
      <w:pPr>
        <w:pStyle w:val="Bezmezer"/>
        <w:rPr>
          <w:rFonts w:eastAsiaTheme="minorEastAsia" w:cs="Times New Roman"/>
          <w:b/>
          <w:sz w:val="28"/>
        </w:rPr>
      </w:pPr>
      <w:r w:rsidRPr="00964221">
        <w:rPr>
          <w:rFonts w:eastAsiaTheme="minorEastAsia" w:cs="Times New Roman"/>
          <w:b/>
          <w:sz w:val="28"/>
        </w:rPr>
        <w:t>A = f(l)</w:t>
      </w:r>
    </w:p>
    <w:p w:rsidR="000B731D" w:rsidRDefault="000B731D" w:rsidP="000B73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Zlúčenina: KMnO</w:t>
      </w:r>
      <w:r>
        <w:rPr>
          <w:rFonts w:ascii="Times New Roman" w:hAnsi="Times New Roman" w:cs="Times New Roman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t>, koncentrácia 1.10</w:t>
      </w:r>
      <w:r>
        <w:rPr>
          <w:rFonts w:ascii="Times New Roman" w:hAnsi="Times New Roman" w:cs="Times New Roman"/>
          <w:sz w:val="24"/>
          <w:vertAlign w:val="superscript"/>
        </w:rPr>
        <w:t xml:space="preserve">-4 </w:t>
      </w:r>
      <w:r>
        <w:rPr>
          <w:rFonts w:ascii="Times New Roman" w:hAnsi="Times New Roman" w:cs="Times New Roman"/>
          <w:sz w:val="24"/>
        </w:rPr>
        <w:t>mol.dm</w:t>
      </w:r>
      <w:r>
        <w:rPr>
          <w:rFonts w:ascii="Times New Roman" w:hAnsi="Times New Roman" w:cs="Times New Roman"/>
          <w:sz w:val="24"/>
          <w:vertAlign w:val="superscript"/>
        </w:rPr>
        <w:t>-3</w:t>
      </w:r>
      <w:r>
        <w:rPr>
          <w:rFonts w:ascii="Times New Roman" w:hAnsi="Times New Roman" w:cs="Times New Roman"/>
          <w:sz w:val="24"/>
        </w:rPr>
        <w:t>, λ</w:t>
      </w:r>
      <w:r>
        <w:rPr>
          <w:rFonts w:ascii="Times New Roman" w:hAnsi="Times New Roman" w:cs="Times New Roman"/>
          <w:sz w:val="24"/>
          <w:vertAlign w:val="subscript"/>
        </w:rPr>
        <w:t>max</w:t>
      </w:r>
      <w:r>
        <w:rPr>
          <w:rFonts w:ascii="Times New Roman" w:hAnsi="Times New Roman" w:cs="Times New Roman"/>
          <w:sz w:val="24"/>
        </w:rPr>
        <w:t>=520 nm.</w:t>
      </w:r>
    </w:p>
    <w:tbl>
      <w:tblPr>
        <w:tblStyle w:val="Mkatabulky"/>
        <w:tblW w:w="0" w:type="auto"/>
        <w:jc w:val="center"/>
        <w:tblLook w:val="04A0"/>
      </w:tblPr>
      <w:tblGrid>
        <w:gridCol w:w="1809"/>
        <w:gridCol w:w="1418"/>
        <w:gridCol w:w="1276"/>
      </w:tblGrid>
      <w:tr w:rsidR="000B731D" w:rsidTr="00070AA7">
        <w:trPr>
          <w:jc w:val="center"/>
        </w:trPr>
        <w:tc>
          <w:tcPr>
            <w:tcW w:w="1809" w:type="dxa"/>
          </w:tcPr>
          <w:p w:rsidR="000B731D" w:rsidRPr="00054066" w:rsidRDefault="000B731D" w:rsidP="00070AA7">
            <w:pPr>
              <w:pStyle w:val="Bezmezer"/>
              <w:jc w:val="center"/>
              <w:rPr>
                <w:rFonts w:eastAsiaTheme="minorEastAsia" w:cs="Times New Roman"/>
              </w:rPr>
            </w:pPr>
            <w:r w:rsidRPr="00054066">
              <w:rPr>
                <w:rFonts w:eastAsiaTheme="minorEastAsia" w:cs="Times New Roman"/>
              </w:rPr>
              <w:t>Číslo</w:t>
            </w:r>
            <w:r>
              <w:rPr>
                <w:rFonts w:eastAsiaTheme="minorEastAsia" w:cs="Times New Roman"/>
              </w:rPr>
              <w:t xml:space="preserve"> mer</w:t>
            </w:r>
            <w:r w:rsidRPr="00054066">
              <w:rPr>
                <w:rFonts w:eastAsiaTheme="minorEastAsia" w:cs="Times New Roman"/>
              </w:rPr>
              <w:t>ania</w:t>
            </w:r>
          </w:p>
        </w:tc>
        <w:tc>
          <w:tcPr>
            <w:tcW w:w="1418" w:type="dxa"/>
          </w:tcPr>
          <w:p w:rsidR="000B731D" w:rsidRPr="00054066" w:rsidRDefault="000B731D" w:rsidP="00070AA7">
            <w:pPr>
              <w:pStyle w:val="Bezmezer"/>
              <w:jc w:val="center"/>
              <w:rPr>
                <w:rFonts w:eastAsiaTheme="minorEastAsia" w:cs="Times New Roman"/>
              </w:rPr>
            </w:pPr>
            <w:r w:rsidRPr="00054066">
              <w:rPr>
                <w:rFonts w:eastAsiaTheme="minorEastAsia" w:cs="Times New Roman"/>
              </w:rPr>
              <w:t>l (cm)</w:t>
            </w:r>
          </w:p>
        </w:tc>
        <w:tc>
          <w:tcPr>
            <w:tcW w:w="1276" w:type="dxa"/>
          </w:tcPr>
          <w:p w:rsidR="000B731D" w:rsidRPr="00054066" w:rsidRDefault="000B731D" w:rsidP="00070AA7">
            <w:pPr>
              <w:pStyle w:val="Bezmezer"/>
              <w:jc w:val="center"/>
              <w:rPr>
                <w:rFonts w:eastAsiaTheme="minorEastAsia" w:cs="Times New Roman"/>
              </w:rPr>
            </w:pPr>
            <w:r w:rsidRPr="00054066">
              <w:rPr>
                <w:rFonts w:eastAsiaTheme="minorEastAsia" w:cs="Times New Roman"/>
              </w:rPr>
              <w:t>A</w:t>
            </w:r>
          </w:p>
        </w:tc>
      </w:tr>
      <w:tr w:rsidR="000B731D" w:rsidTr="00070AA7">
        <w:trPr>
          <w:jc w:val="center"/>
        </w:trPr>
        <w:tc>
          <w:tcPr>
            <w:tcW w:w="1809" w:type="dxa"/>
          </w:tcPr>
          <w:p w:rsidR="000B731D" w:rsidRPr="00054066" w:rsidRDefault="000B731D" w:rsidP="00070AA7">
            <w:pPr>
              <w:pStyle w:val="Bezmezer"/>
              <w:jc w:val="center"/>
              <w:rPr>
                <w:rFonts w:eastAsiaTheme="minorEastAsia" w:cs="Times New Roman"/>
              </w:rPr>
            </w:pPr>
            <w:r w:rsidRPr="00054066">
              <w:rPr>
                <w:rFonts w:eastAsiaTheme="minorEastAsia" w:cs="Times New Roman"/>
              </w:rPr>
              <w:t>1.</w:t>
            </w:r>
          </w:p>
        </w:tc>
        <w:tc>
          <w:tcPr>
            <w:tcW w:w="1418" w:type="dxa"/>
          </w:tcPr>
          <w:p w:rsidR="000B731D" w:rsidRPr="00054066" w:rsidRDefault="000B731D" w:rsidP="00070AA7">
            <w:pPr>
              <w:pStyle w:val="Bezmezer"/>
              <w:jc w:val="center"/>
              <w:rPr>
                <w:rFonts w:eastAsiaTheme="minorEastAsia" w:cs="Times New Roman"/>
              </w:rPr>
            </w:pPr>
            <w:r w:rsidRPr="00054066">
              <w:rPr>
                <w:rFonts w:eastAsiaTheme="minorEastAsia" w:cs="Times New Roman"/>
              </w:rPr>
              <w:t>0,499</w:t>
            </w:r>
          </w:p>
        </w:tc>
        <w:tc>
          <w:tcPr>
            <w:tcW w:w="1276" w:type="dxa"/>
          </w:tcPr>
          <w:p w:rsidR="000B731D" w:rsidRPr="00054066" w:rsidRDefault="000B731D" w:rsidP="000B731D">
            <w:pPr>
              <w:pStyle w:val="Bezmezer"/>
              <w:jc w:val="center"/>
              <w:rPr>
                <w:rFonts w:eastAsiaTheme="minorEastAsia" w:cs="Times New Roman"/>
              </w:rPr>
            </w:pPr>
            <w:r w:rsidRPr="00054066">
              <w:rPr>
                <w:rFonts w:eastAsiaTheme="minorEastAsia" w:cs="Times New Roman"/>
              </w:rPr>
              <w:t>0,</w:t>
            </w:r>
            <w:r>
              <w:rPr>
                <w:rFonts w:eastAsiaTheme="minorEastAsia" w:cs="Times New Roman"/>
              </w:rPr>
              <w:t>08</w:t>
            </w:r>
          </w:p>
        </w:tc>
      </w:tr>
      <w:tr w:rsidR="000B731D" w:rsidTr="00070AA7">
        <w:trPr>
          <w:jc w:val="center"/>
        </w:trPr>
        <w:tc>
          <w:tcPr>
            <w:tcW w:w="1809" w:type="dxa"/>
          </w:tcPr>
          <w:p w:rsidR="000B731D" w:rsidRPr="00054066" w:rsidRDefault="000B731D" w:rsidP="00070AA7">
            <w:pPr>
              <w:pStyle w:val="Bezmezer"/>
              <w:jc w:val="center"/>
              <w:rPr>
                <w:rFonts w:eastAsiaTheme="minorEastAsia" w:cs="Times New Roman"/>
              </w:rPr>
            </w:pPr>
            <w:r w:rsidRPr="00054066">
              <w:rPr>
                <w:rFonts w:eastAsiaTheme="minorEastAsia" w:cs="Times New Roman"/>
              </w:rPr>
              <w:t>2.</w:t>
            </w:r>
          </w:p>
        </w:tc>
        <w:tc>
          <w:tcPr>
            <w:tcW w:w="1418" w:type="dxa"/>
          </w:tcPr>
          <w:p w:rsidR="000B731D" w:rsidRPr="00054066" w:rsidRDefault="000B731D" w:rsidP="00070AA7">
            <w:pPr>
              <w:pStyle w:val="Bezmezer"/>
              <w:jc w:val="center"/>
              <w:rPr>
                <w:rFonts w:eastAsiaTheme="minorEastAsia" w:cs="Times New Roman"/>
              </w:rPr>
            </w:pPr>
            <w:r w:rsidRPr="00054066">
              <w:rPr>
                <w:rFonts w:eastAsiaTheme="minorEastAsia" w:cs="Times New Roman"/>
              </w:rPr>
              <w:t>0,999</w:t>
            </w:r>
          </w:p>
        </w:tc>
        <w:tc>
          <w:tcPr>
            <w:tcW w:w="1276" w:type="dxa"/>
          </w:tcPr>
          <w:p w:rsidR="000B731D" w:rsidRPr="00054066" w:rsidRDefault="000B731D" w:rsidP="00070AA7">
            <w:pPr>
              <w:pStyle w:val="Bezmezer"/>
              <w:jc w:val="center"/>
              <w:rPr>
                <w:rFonts w:eastAsiaTheme="minorEastAsia" w:cs="Times New Roman"/>
              </w:rPr>
            </w:pPr>
            <w:r w:rsidRPr="00054066">
              <w:rPr>
                <w:rFonts w:eastAsiaTheme="minorEastAsia" w:cs="Times New Roman"/>
              </w:rPr>
              <w:t>0,</w:t>
            </w:r>
            <w:r>
              <w:rPr>
                <w:rFonts w:eastAsiaTheme="minorEastAsia" w:cs="Times New Roman"/>
              </w:rPr>
              <w:t>22</w:t>
            </w:r>
          </w:p>
        </w:tc>
      </w:tr>
      <w:tr w:rsidR="000B731D" w:rsidTr="00070AA7">
        <w:trPr>
          <w:jc w:val="center"/>
        </w:trPr>
        <w:tc>
          <w:tcPr>
            <w:tcW w:w="1809" w:type="dxa"/>
          </w:tcPr>
          <w:p w:rsidR="000B731D" w:rsidRPr="00054066" w:rsidRDefault="000B731D" w:rsidP="00070AA7">
            <w:pPr>
              <w:pStyle w:val="Bezmezer"/>
              <w:jc w:val="center"/>
              <w:rPr>
                <w:rFonts w:eastAsiaTheme="minorEastAsia" w:cs="Times New Roman"/>
              </w:rPr>
            </w:pPr>
            <w:r w:rsidRPr="00054066">
              <w:rPr>
                <w:rFonts w:eastAsiaTheme="minorEastAsia" w:cs="Times New Roman"/>
              </w:rPr>
              <w:t>3.</w:t>
            </w:r>
          </w:p>
        </w:tc>
        <w:tc>
          <w:tcPr>
            <w:tcW w:w="1418" w:type="dxa"/>
          </w:tcPr>
          <w:p w:rsidR="000B731D" w:rsidRPr="00054066" w:rsidRDefault="000B731D" w:rsidP="00070AA7">
            <w:pPr>
              <w:pStyle w:val="Bezmezer"/>
              <w:jc w:val="center"/>
              <w:rPr>
                <w:rFonts w:eastAsiaTheme="minorEastAsia" w:cs="Times New Roman"/>
              </w:rPr>
            </w:pPr>
            <w:r w:rsidRPr="00054066">
              <w:rPr>
                <w:rFonts w:eastAsiaTheme="minorEastAsia" w:cs="Times New Roman"/>
              </w:rPr>
              <w:t>1,994</w:t>
            </w:r>
          </w:p>
        </w:tc>
        <w:tc>
          <w:tcPr>
            <w:tcW w:w="1276" w:type="dxa"/>
          </w:tcPr>
          <w:p w:rsidR="000B731D" w:rsidRPr="00054066" w:rsidRDefault="000B731D" w:rsidP="00070AA7">
            <w:pPr>
              <w:pStyle w:val="Bezmezer"/>
              <w:jc w:val="center"/>
              <w:rPr>
                <w:rFonts w:eastAsiaTheme="minorEastAsia" w:cs="Times New Roman"/>
              </w:rPr>
            </w:pPr>
            <w:r w:rsidRPr="00054066">
              <w:rPr>
                <w:rFonts w:eastAsiaTheme="minorEastAsia" w:cs="Times New Roman"/>
              </w:rPr>
              <w:t>0,4</w:t>
            </w:r>
            <w:r>
              <w:rPr>
                <w:rFonts w:eastAsiaTheme="minorEastAsia" w:cs="Times New Roman"/>
              </w:rPr>
              <w:t>3</w:t>
            </w:r>
          </w:p>
        </w:tc>
      </w:tr>
      <w:tr w:rsidR="000B731D" w:rsidTr="00070AA7">
        <w:trPr>
          <w:jc w:val="center"/>
        </w:trPr>
        <w:tc>
          <w:tcPr>
            <w:tcW w:w="1809" w:type="dxa"/>
          </w:tcPr>
          <w:p w:rsidR="000B731D" w:rsidRPr="00054066" w:rsidRDefault="000B731D" w:rsidP="00070AA7">
            <w:pPr>
              <w:pStyle w:val="Bezmezer"/>
              <w:jc w:val="center"/>
              <w:rPr>
                <w:rFonts w:eastAsiaTheme="minorEastAsia" w:cs="Times New Roman"/>
              </w:rPr>
            </w:pPr>
            <w:r w:rsidRPr="00054066">
              <w:rPr>
                <w:rFonts w:eastAsiaTheme="minorEastAsia" w:cs="Times New Roman"/>
              </w:rPr>
              <w:t>4.</w:t>
            </w:r>
          </w:p>
        </w:tc>
        <w:tc>
          <w:tcPr>
            <w:tcW w:w="1418" w:type="dxa"/>
          </w:tcPr>
          <w:p w:rsidR="000B731D" w:rsidRPr="00054066" w:rsidRDefault="000B731D" w:rsidP="00070AA7">
            <w:pPr>
              <w:pStyle w:val="Bezmezer"/>
              <w:jc w:val="center"/>
              <w:rPr>
                <w:rFonts w:eastAsiaTheme="minorEastAsia" w:cs="Times New Roman"/>
              </w:rPr>
            </w:pPr>
            <w:r w:rsidRPr="00054066">
              <w:rPr>
                <w:rFonts w:eastAsiaTheme="minorEastAsia" w:cs="Times New Roman"/>
              </w:rPr>
              <w:t>2,995</w:t>
            </w:r>
          </w:p>
        </w:tc>
        <w:tc>
          <w:tcPr>
            <w:tcW w:w="1276" w:type="dxa"/>
          </w:tcPr>
          <w:p w:rsidR="000B731D" w:rsidRPr="00054066" w:rsidRDefault="000B731D" w:rsidP="00070AA7">
            <w:pPr>
              <w:pStyle w:val="Bezmezer"/>
              <w:jc w:val="center"/>
              <w:rPr>
                <w:rFonts w:eastAsiaTheme="minorEastAsia" w:cs="Times New Roman"/>
              </w:rPr>
            </w:pPr>
            <w:r w:rsidRPr="00054066">
              <w:rPr>
                <w:rFonts w:eastAsiaTheme="minorEastAsia" w:cs="Times New Roman"/>
              </w:rPr>
              <w:t>0,6</w:t>
            </w:r>
            <w:r w:rsidR="00612B5A">
              <w:rPr>
                <w:rFonts w:eastAsiaTheme="minorEastAsia" w:cs="Times New Roman"/>
              </w:rPr>
              <w:t>5</w:t>
            </w:r>
          </w:p>
        </w:tc>
      </w:tr>
      <w:tr w:rsidR="000B731D" w:rsidTr="00070AA7">
        <w:trPr>
          <w:jc w:val="center"/>
        </w:trPr>
        <w:tc>
          <w:tcPr>
            <w:tcW w:w="1809" w:type="dxa"/>
          </w:tcPr>
          <w:p w:rsidR="000B731D" w:rsidRPr="00054066" w:rsidRDefault="000B731D" w:rsidP="00070AA7">
            <w:pPr>
              <w:pStyle w:val="Bezmezer"/>
              <w:jc w:val="center"/>
              <w:rPr>
                <w:rFonts w:eastAsiaTheme="minorEastAsia" w:cs="Times New Roman"/>
              </w:rPr>
            </w:pPr>
            <w:r w:rsidRPr="00054066">
              <w:rPr>
                <w:rFonts w:eastAsiaTheme="minorEastAsia" w:cs="Times New Roman"/>
              </w:rPr>
              <w:t>5.</w:t>
            </w:r>
          </w:p>
        </w:tc>
        <w:tc>
          <w:tcPr>
            <w:tcW w:w="1418" w:type="dxa"/>
          </w:tcPr>
          <w:p w:rsidR="000B731D" w:rsidRPr="00054066" w:rsidRDefault="000B731D" w:rsidP="00070AA7">
            <w:pPr>
              <w:pStyle w:val="Bezmezer"/>
              <w:jc w:val="center"/>
              <w:rPr>
                <w:rFonts w:eastAsiaTheme="minorEastAsia" w:cs="Times New Roman"/>
              </w:rPr>
            </w:pPr>
            <w:r w:rsidRPr="00054066">
              <w:rPr>
                <w:rFonts w:eastAsiaTheme="minorEastAsia" w:cs="Times New Roman"/>
              </w:rPr>
              <w:t>5,000</w:t>
            </w:r>
          </w:p>
        </w:tc>
        <w:tc>
          <w:tcPr>
            <w:tcW w:w="1276" w:type="dxa"/>
          </w:tcPr>
          <w:p w:rsidR="000B731D" w:rsidRPr="00054066" w:rsidRDefault="000B731D" w:rsidP="00070AA7">
            <w:pPr>
              <w:pStyle w:val="Bezmezer"/>
              <w:jc w:val="center"/>
              <w:rPr>
                <w:rFonts w:eastAsiaTheme="minorEastAsia" w:cs="Times New Roman"/>
              </w:rPr>
            </w:pPr>
            <w:r w:rsidRPr="00054066">
              <w:rPr>
                <w:rFonts w:eastAsiaTheme="minorEastAsia" w:cs="Times New Roman"/>
              </w:rPr>
              <w:t>1,</w:t>
            </w:r>
            <w:r w:rsidR="00612B5A">
              <w:rPr>
                <w:rFonts w:eastAsiaTheme="minorEastAsia" w:cs="Times New Roman"/>
              </w:rPr>
              <w:t>04</w:t>
            </w:r>
          </w:p>
        </w:tc>
      </w:tr>
    </w:tbl>
    <w:p w:rsidR="000B731D" w:rsidRDefault="00612B5A" w:rsidP="000B731D">
      <w:pPr>
        <w:pStyle w:val="Bezmezer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</w:t>
      </w:r>
    </w:p>
    <w:p w:rsidR="00612B5A" w:rsidRDefault="00612B5A" w:rsidP="000B731D">
      <w:pPr>
        <w:pStyle w:val="Bezmezer"/>
        <w:rPr>
          <w:rFonts w:eastAsiaTheme="minorEastAsia" w:cs="Times New Roman"/>
          <w:szCs w:val="24"/>
        </w:rPr>
      </w:pPr>
      <w:r w:rsidRPr="00612B5A">
        <w:rPr>
          <w:rFonts w:eastAsiaTheme="minorEastAsia" w:cs="Times New Roman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4543425" cy="2476500"/>
            <wp:effectExtent l="19050" t="0" r="9525" b="0"/>
            <wp:wrapNone/>
            <wp:docPr id="4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612B5A" w:rsidRPr="00964221" w:rsidRDefault="00612B5A" w:rsidP="000B731D">
      <w:pPr>
        <w:pStyle w:val="Bezmezer"/>
        <w:rPr>
          <w:rFonts w:eastAsiaTheme="minorEastAsia" w:cs="Times New Roman"/>
          <w:szCs w:val="24"/>
        </w:rPr>
      </w:pPr>
    </w:p>
    <w:p w:rsidR="000B731D" w:rsidRPr="00964221" w:rsidRDefault="000B731D" w:rsidP="003543A1">
      <w:pPr>
        <w:rPr>
          <w:rFonts w:ascii="Times New Roman" w:hAnsi="Times New Roman" w:cs="Times New Roman"/>
          <w:sz w:val="24"/>
        </w:rPr>
      </w:pPr>
    </w:p>
    <w:p w:rsidR="000F37C4" w:rsidRDefault="000F37C4" w:rsidP="003543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2B5A" w:rsidRDefault="00612B5A" w:rsidP="003543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2B5A" w:rsidRDefault="00612B5A" w:rsidP="003543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2B5A" w:rsidRDefault="00612B5A" w:rsidP="003543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2B5A" w:rsidRDefault="00612B5A" w:rsidP="003543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2B5A" w:rsidRDefault="00612B5A" w:rsidP="003543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2B5A" w:rsidRDefault="00612B5A" w:rsidP="003543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2B5A" w:rsidRDefault="00612B5A" w:rsidP="003543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Záver:</w:t>
      </w:r>
    </w:p>
    <w:p w:rsidR="00612B5A" w:rsidRPr="00612B5A" w:rsidRDefault="00612B5A" w:rsidP="00612B5A">
      <w:pPr>
        <w:jc w:val="both"/>
        <w:rPr>
          <w:rFonts w:ascii="Times New Roman" w:hAnsi="Times New Roman" w:cs="Times New Roman"/>
          <w:sz w:val="24"/>
          <w:szCs w:val="24"/>
        </w:rPr>
      </w:pPr>
      <w:r w:rsidRPr="00612B5A">
        <w:rPr>
          <w:rFonts w:ascii="Times New Roman" w:hAnsi="Times New Roman" w:cs="Times New Roman"/>
          <w:sz w:val="24"/>
          <w:szCs w:val="24"/>
        </w:rPr>
        <w:t>Na tomto cvičení som zisťovala závislosť absorbancie od koncentrácie a hrúbky kyvety. V obidvoch prípadoch má závislosť priamkový charakter, t.j. absorbancia závisí priamo úmerne od koncentrácie roztoku a hrúbky kyvety. Maximálnu hodnotu som absorbancie som namerala pri λ = 5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12B5A">
        <w:rPr>
          <w:rFonts w:ascii="Times New Roman" w:hAnsi="Times New Roman" w:cs="Times New Roman"/>
          <w:sz w:val="24"/>
          <w:szCs w:val="24"/>
        </w:rPr>
        <w:t>0 nm. A</w:t>
      </w:r>
      <w:r>
        <w:rPr>
          <w:rFonts w:ascii="Times New Roman" w:hAnsi="Times New Roman" w:cs="Times New Roman"/>
          <w:sz w:val="24"/>
          <w:szCs w:val="24"/>
        </w:rPr>
        <w:t>bsorpčný koeficient má hodnotu 21 611,61 dm</w:t>
      </w:r>
      <w:r w:rsidRPr="00612B5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.mol</w:t>
      </w:r>
      <w:r w:rsidRPr="00612B5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12B5A" w:rsidRPr="00612B5A" w:rsidSect="003A3A6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44B" w:rsidRDefault="00CF144B" w:rsidP="0048105A">
      <w:pPr>
        <w:spacing w:after="0" w:line="240" w:lineRule="auto"/>
      </w:pPr>
      <w:r>
        <w:separator/>
      </w:r>
    </w:p>
  </w:endnote>
  <w:endnote w:type="continuationSeparator" w:id="1">
    <w:p w:rsidR="00CF144B" w:rsidRDefault="00CF144B" w:rsidP="0048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507786"/>
      <w:docPartObj>
        <w:docPartGallery w:val="Page Numbers (Bottom of Page)"/>
        <w:docPartUnique/>
      </w:docPartObj>
    </w:sdtPr>
    <w:sdtContent>
      <w:p w:rsidR="00E81A89" w:rsidRDefault="00E81A89">
        <w:pPr>
          <w:pStyle w:val="Zpat"/>
          <w:jc w:val="center"/>
        </w:pPr>
        <w:fldSimple w:instr=" PAGE   \* MERGEFORMAT ">
          <w:r w:rsidR="00612B5A">
            <w:rPr>
              <w:noProof/>
            </w:rPr>
            <w:t>3</w:t>
          </w:r>
        </w:fldSimple>
      </w:p>
    </w:sdtContent>
  </w:sdt>
  <w:p w:rsidR="00E81A89" w:rsidRDefault="00E81A89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44B" w:rsidRDefault="00CF144B" w:rsidP="0048105A">
      <w:pPr>
        <w:spacing w:after="0" w:line="240" w:lineRule="auto"/>
      </w:pPr>
      <w:r>
        <w:separator/>
      </w:r>
    </w:p>
  </w:footnote>
  <w:footnote w:type="continuationSeparator" w:id="1">
    <w:p w:rsidR="00CF144B" w:rsidRDefault="00CF144B" w:rsidP="00481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50F2"/>
    <w:multiLevelType w:val="hybridMultilevel"/>
    <w:tmpl w:val="3EC6C32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836AF3"/>
    <w:multiLevelType w:val="hybridMultilevel"/>
    <w:tmpl w:val="26CA67B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E534C"/>
    <w:multiLevelType w:val="hybridMultilevel"/>
    <w:tmpl w:val="26CA67B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B6B1B"/>
    <w:multiLevelType w:val="hybridMultilevel"/>
    <w:tmpl w:val="922073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F2585"/>
    <w:multiLevelType w:val="hybridMultilevel"/>
    <w:tmpl w:val="497A5E00"/>
    <w:lvl w:ilvl="0" w:tplc="21E0E1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A2B08"/>
    <w:multiLevelType w:val="hybridMultilevel"/>
    <w:tmpl w:val="3914209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D1A6E"/>
    <w:multiLevelType w:val="hybridMultilevel"/>
    <w:tmpl w:val="96EC4F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F6B6F"/>
    <w:multiLevelType w:val="hybridMultilevel"/>
    <w:tmpl w:val="B2829FA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6B0BD3"/>
    <w:multiLevelType w:val="hybridMultilevel"/>
    <w:tmpl w:val="8FA2A70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DD0186"/>
    <w:multiLevelType w:val="hybridMultilevel"/>
    <w:tmpl w:val="528C58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CE1348"/>
    <w:multiLevelType w:val="hybridMultilevel"/>
    <w:tmpl w:val="C60E9A4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E90187"/>
    <w:multiLevelType w:val="hybridMultilevel"/>
    <w:tmpl w:val="B0D43F92"/>
    <w:lvl w:ilvl="0" w:tplc="889E7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257ECC"/>
    <w:multiLevelType w:val="hybridMultilevel"/>
    <w:tmpl w:val="68D65A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1A5DAC"/>
    <w:multiLevelType w:val="hybridMultilevel"/>
    <w:tmpl w:val="BDBEA70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0F2218"/>
    <w:multiLevelType w:val="hybridMultilevel"/>
    <w:tmpl w:val="6240C7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464782"/>
    <w:multiLevelType w:val="hybridMultilevel"/>
    <w:tmpl w:val="0DDC11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AE7352"/>
    <w:multiLevelType w:val="hybridMultilevel"/>
    <w:tmpl w:val="1EC02C3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207FF2"/>
    <w:multiLevelType w:val="hybridMultilevel"/>
    <w:tmpl w:val="7936AE3E"/>
    <w:lvl w:ilvl="0" w:tplc="B95462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D542B1"/>
    <w:multiLevelType w:val="hybridMultilevel"/>
    <w:tmpl w:val="97E6D01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BC21BC"/>
    <w:multiLevelType w:val="multilevel"/>
    <w:tmpl w:val="D4EA9C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0981633"/>
    <w:multiLevelType w:val="hybridMultilevel"/>
    <w:tmpl w:val="BBF4F50C"/>
    <w:lvl w:ilvl="0" w:tplc="80769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3867BA"/>
    <w:multiLevelType w:val="hybridMultilevel"/>
    <w:tmpl w:val="B99AFEA6"/>
    <w:lvl w:ilvl="0" w:tplc="B95462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54177E"/>
    <w:multiLevelType w:val="hybridMultilevel"/>
    <w:tmpl w:val="FD728EFA"/>
    <w:lvl w:ilvl="0" w:tplc="80769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8600C2"/>
    <w:multiLevelType w:val="hybridMultilevel"/>
    <w:tmpl w:val="FDB233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BB682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FE56AE1"/>
    <w:multiLevelType w:val="hybridMultilevel"/>
    <w:tmpl w:val="038A347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81E7B7B"/>
    <w:multiLevelType w:val="hybridMultilevel"/>
    <w:tmpl w:val="F20C57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2A6F4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A9044CA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6"/>
  </w:num>
  <w:num w:numId="2">
    <w:abstractNumId w:val="28"/>
  </w:num>
  <w:num w:numId="3">
    <w:abstractNumId w:val="3"/>
  </w:num>
  <w:num w:numId="4">
    <w:abstractNumId w:val="9"/>
  </w:num>
  <w:num w:numId="5">
    <w:abstractNumId w:val="8"/>
  </w:num>
  <w:num w:numId="6">
    <w:abstractNumId w:val="12"/>
  </w:num>
  <w:num w:numId="7">
    <w:abstractNumId w:val="21"/>
  </w:num>
  <w:num w:numId="8">
    <w:abstractNumId w:val="23"/>
  </w:num>
  <w:num w:numId="9">
    <w:abstractNumId w:val="17"/>
  </w:num>
  <w:num w:numId="10">
    <w:abstractNumId w:val="24"/>
  </w:num>
  <w:num w:numId="11">
    <w:abstractNumId w:val="27"/>
  </w:num>
  <w:num w:numId="12">
    <w:abstractNumId w:val="11"/>
  </w:num>
  <w:num w:numId="13">
    <w:abstractNumId w:val="18"/>
  </w:num>
  <w:num w:numId="14">
    <w:abstractNumId w:val="14"/>
  </w:num>
  <w:num w:numId="15">
    <w:abstractNumId w:val="4"/>
  </w:num>
  <w:num w:numId="16">
    <w:abstractNumId w:val="1"/>
  </w:num>
  <w:num w:numId="17">
    <w:abstractNumId w:val="2"/>
  </w:num>
  <w:num w:numId="18">
    <w:abstractNumId w:val="7"/>
  </w:num>
  <w:num w:numId="19">
    <w:abstractNumId w:val="5"/>
  </w:num>
  <w:num w:numId="20">
    <w:abstractNumId w:val="6"/>
  </w:num>
  <w:num w:numId="21">
    <w:abstractNumId w:val="0"/>
  </w:num>
  <w:num w:numId="22">
    <w:abstractNumId w:val="10"/>
  </w:num>
  <w:num w:numId="23">
    <w:abstractNumId w:val="25"/>
  </w:num>
  <w:num w:numId="24">
    <w:abstractNumId w:val="26"/>
  </w:num>
  <w:num w:numId="25">
    <w:abstractNumId w:val="19"/>
  </w:num>
  <w:num w:numId="26">
    <w:abstractNumId w:val="13"/>
  </w:num>
  <w:num w:numId="27">
    <w:abstractNumId w:val="15"/>
  </w:num>
  <w:num w:numId="28">
    <w:abstractNumId w:val="22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38A4"/>
    <w:rsid w:val="00090594"/>
    <w:rsid w:val="0009621D"/>
    <w:rsid w:val="000B0CDA"/>
    <w:rsid w:val="000B731D"/>
    <w:rsid w:val="000F37C4"/>
    <w:rsid w:val="000F7049"/>
    <w:rsid w:val="001D6838"/>
    <w:rsid w:val="002D1F3D"/>
    <w:rsid w:val="00354308"/>
    <w:rsid w:val="003543A1"/>
    <w:rsid w:val="00355D0F"/>
    <w:rsid w:val="00366153"/>
    <w:rsid w:val="0039784D"/>
    <w:rsid w:val="003A3A63"/>
    <w:rsid w:val="004116AA"/>
    <w:rsid w:val="004407EC"/>
    <w:rsid w:val="0048105A"/>
    <w:rsid w:val="00494B9F"/>
    <w:rsid w:val="004A64CD"/>
    <w:rsid w:val="0050018E"/>
    <w:rsid w:val="00501499"/>
    <w:rsid w:val="00526E30"/>
    <w:rsid w:val="005F4322"/>
    <w:rsid w:val="00607905"/>
    <w:rsid w:val="00612B5A"/>
    <w:rsid w:val="006229E1"/>
    <w:rsid w:val="00623EAF"/>
    <w:rsid w:val="00641595"/>
    <w:rsid w:val="00674503"/>
    <w:rsid w:val="0069132B"/>
    <w:rsid w:val="006F6C74"/>
    <w:rsid w:val="007168F7"/>
    <w:rsid w:val="007900AA"/>
    <w:rsid w:val="007A38B4"/>
    <w:rsid w:val="007F569B"/>
    <w:rsid w:val="00826DC9"/>
    <w:rsid w:val="008B5A4C"/>
    <w:rsid w:val="008F5B74"/>
    <w:rsid w:val="008F6F3E"/>
    <w:rsid w:val="009055CE"/>
    <w:rsid w:val="00915610"/>
    <w:rsid w:val="00A53B97"/>
    <w:rsid w:val="00A62637"/>
    <w:rsid w:val="00A81C2E"/>
    <w:rsid w:val="00AB5CD3"/>
    <w:rsid w:val="00AC0851"/>
    <w:rsid w:val="00AF0045"/>
    <w:rsid w:val="00B5174C"/>
    <w:rsid w:val="00BB60D4"/>
    <w:rsid w:val="00C265FB"/>
    <w:rsid w:val="00C50932"/>
    <w:rsid w:val="00C527D5"/>
    <w:rsid w:val="00CA3721"/>
    <w:rsid w:val="00CA553B"/>
    <w:rsid w:val="00CD41B5"/>
    <w:rsid w:val="00CF144B"/>
    <w:rsid w:val="00CF1A65"/>
    <w:rsid w:val="00D07479"/>
    <w:rsid w:val="00D27937"/>
    <w:rsid w:val="00D75AFD"/>
    <w:rsid w:val="00D95B7F"/>
    <w:rsid w:val="00DD6CBE"/>
    <w:rsid w:val="00DD7CBF"/>
    <w:rsid w:val="00E262AE"/>
    <w:rsid w:val="00E46D42"/>
    <w:rsid w:val="00E81A89"/>
    <w:rsid w:val="00EA2798"/>
    <w:rsid w:val="00EC39F5"/>
    <w:rsid w:val="00EE4B4A"/>
    <w:rsid w:val="00F50453"/>
    <w:rsid w:val="00F77562"/>
    <w:rsid w:val="00FA38A4"/>
    <w:rsid w:val="00FF3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A3A6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A38A4"/>
    <w:pPr>
      <w:ind w:left="720"/>
      <w:contextualSpacing/>
    </w:pPr>
  </w:style>
  <w:style w:type="paragraph" w:styleId="Bezmezer">
    <w:name w:val="No Spacing"/>
    <w:uiPriority w:val="1"/>
    <w:qFormat/>
    <w:rsid w:val="005F4322"/>
    <w:pPr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F4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F4322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48105A"/>
    <w:rPr>
      <w:color w:val="808080"/>
    </w:rPr>
  </w:style>
  <w:style w:type="paragraph" w:styleId="Zhlav">
    <w:name w:val="header"/>
    <w:basedOn w:val="Normln"/>
    <w:link w:val="ZhlavChar"/>
    <w:uiPriority w:val="99"/>
    <w:semiHidden/>
    <w:unhideWhenUsed/>
    <w:rsid w:val="004810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8105A"/>
  </w:style>
  <w:style w:type="paragraph" w:styleId="Zpat">
    <w:name w:val="footer"/>
    <w:basedOn w:val="Normln"/>
    <w:link w:val="ZpatChar"/>
    <w:uiPriority w:val="99"/>
    <w:unhideWhenUsed/>
    <w:rsid w:val="004810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8105A"/>
  </w:style>
  <w:style w:type="table" w:styleId="Mkatabulky">
    <w:name w:val="Table Grid"/>
    <w:basedOn w:val="Normlntabulka"/>
    <w:uiPriority w:val="59"/>
    <w:rsid w:val="000B731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ka\Documents\&#353;kola\3.%20ro&#269;n&#237;k\Praktikum%20z%20fyzik&#225;lnej%20ch&#233;mie\prot7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ka\Documents\&#353;kola\3.%20ro&#269;n&#237;k\Praktikum%20z%20fyzik&#225;lnej%20ch&#233;mie\prot7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ka\Documents\&#353;kola\3.%20ro&#269;n&#237;k\Praktikum%20z%20fyzik&#225;lnej%20ch&#233;mie\prot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style val="5"/>
  <c:chart>
    <c:title>
      <c:tx>
        <c:rich>
          <a:bodyPr/>
          <a:lstStyle/>
          <a:p>
            <a:pPr>
              <a:defRPr/>
            </a:pPr>
            <a:r>
              <a:rPr lang="sk-SK"/>
              <a:t>A = f(λ)</a:t>
            </a:r>
          </a:p>
        </c:rich>
      </c:tx>
    </c:title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name>A = f(λ)</c:name>
            <c:trendlineType val="movingAvg"/>
            <c:period val="2"/>
          </c:trendline>
          <c:xVal>
            <c:numRef>
              <c:f>List1!$C$3:$C$24</c:f>
              <c:numCache>
                <c:formatCode>General</c:formatCode>
                <c:ptCount val="22"/>
                <c:pt idx="0">
                  <c:v>0</c:v>
                </c:pt>
                <c:pt idx="1">
                  <c:v>400</c:v>
                </c:pt>
                <c:pt idx="2">
                  <c:v>410</c:v>
                </c:pt>
                <c:pt idx="3">
                  <c:v>420</c:v>
                </c:pt>
                <c:pt idx="4">
                  <c:v>430</c:v>
                </c:pt>
                <c:pt idx="5">
                  <c:v>440</c:v>
                </c:pt>
                <c:pt idx="6">
                  <c:v>450</c:v>
                </c:pt>
                <c:pt idx="7">
                  <c:v>460</c:v>
                </c:pt>
                <c:pt idx="8">
                  <c:v>470</c:v>
                </c:pt>
                <c:pt idx="9">
                  <c:v>480</c:v>
                </c:pt>
                <c:pt idx="10">
                  <c:v>490</c:v>
                </c:pt>
                <c:pt idx="11">
                  <c:v>500</c:v>
                </c:pt>
                <c:pt idx="12">
                  <c:v>510</c:v>
                </c:pt>
                <c:pt idx="13">
                  <c:v>520</c:v>
                </c:pt>
                <c:pt idx="14">
                  <c:v>530</c:v>
                </c:pt>
                <c:pt idx="15">
                  <c:v>540</c:v>
                </c:pt>
                <c:pt idx="16">
                  <c:v>550</c:v>
                </c:pt>
                <c:pt idx="17">
                  <c:v>560</c:v>
                </c:pt>
                <c:pt idx="18">
                  <c:v>570</c:v>
                </c:pt>
                <c:pt idx="19">
                  <c:v>580</c:v>
                </c:pt>
                <c:pt idx="20">
                  <c:v>590</c:v>
                </c:pt>
                <c:pt idx="21">
                  <c:v>600</c:v>
                </c:pt>
              </c:numCache>
            </c:numRef>
          </c:xVal>
          <c:yVal>
            <c:numRef>
              <c:f>List1!$D$3:$D$24</c:f>
              <c:numCache>
                <c:formatCode>General</c:formatCode>
                <c:ptCount val="22"/>
                <c:pt idx="0">
                  <c:v>0</c:v>
                </c:pt>
                <c:pt idx="1">
                  <c:v>0.11</c:v>
                </c:pt>
                <c:pt idx="2">
                  <c:v>0.1</c:v>
                </c:pt>
                <c:pt idx="3">
                  <c:v>9.0000000000000011E-2</c:v>
                </c:pt>
                <c:pt idx="4">
                  <c:v>9.0000000000000011E-2</c:v>
                </c:pt>
                <c:pt idx="5">
                  <c:v>8.0000000000000016E-2</c:v>
                </c:pt>
                <c:pt idx="6">
                  <c:v>8.0000000000000016E-2</c:v>
                </c:pt>
                <c:pt idx="7">
                  <c:v>9.0000000000000011E-2</c:v>
                </c:pt>
                <c:pt idx="8">
                  <c:v>0.1</c:v>
                </c:pt>
                <c:pt idx="9">
                  <c:v>0.12000000000000001</c:v>
                </c:pt>
                <c:pt idx="10">
                  <c:v>0.14000000000000001</c:v>
                </c:pt>
                <c:pt idx="11">
                  <c:v>0.17</c:v>
                </c:pt>
                <c:pt idx="12">
                  <c:v>0.19</c:v>
                </c:pt>
                <c:pt idx="13">
                  <c:v>0.22</c:v>
                </c:pt>
                <c:pt idx="14">
                  <c:v>0.22</c:v>
                </c:pt>
                <c:pt idx="15">
                  <c:v>0.21000000000000002</c:v>
                </c:pt>
                <c:pt idx="16">
                  <c:v>0.19</c:v>
                </c:pt>
                <c:pt idx="17">
                  <c:v>0.14000000000000001</c:v>
                </c:pt>
                <c:pt idx="18">
                  <c:v>0.12000000000000001</c:v>
                </c:pt>
                <c:pt idx="19">
                  <c:v>7.0000000000000021E-2</c:v>
                </c:pt>
                <c:pt idx="20">
                  <c:v>4.0000000000000008E-2</c:v>
                </c:pt>
                <c:pt idx="21">
                  <c:v>3.0000000000000002E-2</c:v>
                </c:pt>
              </c:numCache>
            </c:numRef>
          </c:yVal>
        </c:ser>
        <c:axId val="120809344"/>
        <c:axId val="120818304"/>
      </c:scatterChart>
      <c:valAx>
        <c:axId val="120809344"/>
        <c:scaling>
          <c:orientation val="minMax"/>
          <c:max val="700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sk-SK"/>
                  <a:t>λ (nm)</a:t>
                </a:r>
              </a:p>
            </c:rich>
          </c:tx>
        </c:title>
        <c:numFmt formatCode="General" sourceLinked="1"/>
        <c:tickLblPos val="nextTo"/>
        <c:crossAx val="120818304"/>
        <c:crosses val="autoZero"/>
        <c:crossBetween val="midCat"/>
        <c:majorUnit val="100"/>
      </c:valAx>
      <c:valAx>
        <c:axId val="12081830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sk-SK"/>
                  <a:t>A</a:t>
                </a:r>
              </a:p>
            </c:rich>
          </c:tx>
        </c:title>
        <c:numFmt formatCode="General" sourceLinked="1"/>
        <c:tickLblPos val="nextTo"/>
        <c:crossAx val="120809344"/>
        <c:crossesAt val="0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title>
      <c:tx>
        <c:rich>
          <a:bodyPr/>
          <a:lstStyle/>
          <a:p>
            <a:pPr>
              <a:defRPr/>
            </a:pPr>
            <a:r>
              <a:rPr lang="sk-SK" sz="1800" b="1"/>
              <a:t>A = f(c)</a:t>
            </a:r>
            <a:endParaRPr lang="sk-SK" sz="1800"/>
          </a:p>
        </c:rich>
      </c:tx>
    </c:title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name>A = f(c)</c:name>
            <c:trendlineType val="linear"/>
            <c:dispEq val="1"/>
            <c:trendlineLbl>
              <c:layout>
                <c:manualLayout>
                  <c:x val="0.36981745525052673"/>
                  <c:y val="-2.593899900443479E-2"/>
                </c:manualLayout>
              </c:layout>
              <c:numFmt formatCode="General" sourceLinked="0"/>
            </c:trendlineLbl>
          </c:trendline>
          <c:xVal>
            <c:numRef>
              <c:f>List1!$C$30:$C$34</c:f>
              <c:numCache>
                <c:formatCode>General</c:formatCode>
                <c:ptCount val="5"/>
                <c:pt idx="0">
                  <c:v>3.0000000000000003E-4</c:v>
                </c:pt>
                <c:pt idx="1">
                  <c:v>1.4999999999999999E-4</c:v>
                </c:pt>
                <c:pt idx="2">
                  <c:v>1.0000000000000002E-4</c:v>
                </c:pt>
                <c:pt idx="3">
                  <c:v>7.5000000000000007E-5</c:v>
                </c:pt>
                <c:pt idx="4">
                  <c:v>6.0000000000000015E-5</c:v>
                </c:pt>
              </c:numCache>
            </c:numRef>
          </c:xVal>
          <c:yVal>
            <c:numRef>
              <c:f>List1!$D$30:$D$34</c:f>
              <c:numCache>
                <c:formatCode>General</c:formatCode>
                <c:ptCount val="5"/>
                <c:pt idx="0">
                  <c:v>0.66000000000000014</c:v>
                </c:pt>
                <c:pt idx="1">
                  <c:v>0.33000000000000007</c:v>
                </c:pt>
                <c:pt idx="2">
                  <c:v>0.22</c:v>
                </c:pt>
                <c:pt idx="3">
                  <c:v>0.18000000000000002</c:v>
                </c:pt>
                <c:pt idx="4">
                  <c:v>0.14000000000000001</c:v>
                </c:pt>
              </c:numCache>
            </c:numRef>
          </c:yVal>
        </c:ser>
        <c:axId val="120970240"/>
        <c:axId val="121021952"/>
      </c:scatterChart>
      <c:valAx>
        <c:axId val="1209702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sk-SK" baseline="0"/>
                  <a:t>c (mol.</a:t>
                </a:r>
                <a:r>
                  <a:rPr lang="sk-SK" sz="1000" b="1" i="0" u="none" strike="noStrike" baseline="0"/>
                  <a:t>dm</a:t>
                </a:r>
                <a:r>
                  <a:rPr lang="sk-SK" sz="1000" b="1" i="0" u="none" strike="noStrike" baseline="30000"/>
                  <a:t>-3)</a:t>
                </a:r>
                <a:endParaRPr lang="sk-SK"/>
              </a:p>
            </c:rich>
          </c:tx>
        </c:title>
        <c:numFmt formatCode="General" sourceLinked="1"/>
        <c:tickLblPos val="nextTo"/>
        <c:crossAx val="121021952"/>
        <c:crosses val="autoZero"/>
        <c:crossBetween val="midCat"/>
      </c:valAx>
      <c:valAx>
        <c:axId val="12102195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sk-SK"/>
                  <a:t>A</a:t>
                </a:r>
              </a:p>
            </c:rich>
          </c:tx>
        </c:title>
        <c:numFmt formatCode="General" sourceLinked="1"/>
        <c:tickLblPos val="nextTo"/>
        <c:crossAx val="12097024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style val="4"/>
  <c:chart>
    <c:title>
      <c:tx>
        <c:rich>
          <a:bodyPr/>
          <a:lstStyle/>
          <a:p>
            <a:pPr>
              <a:defRPr/>
            </a:pPr>
            <a:r>
              <a:rPr lang="sk-SK"/>
              <a:t>A = f(l)</a:t>
            </a:r>
          </a:p>
        </c:rich>
      </c:tx>
    </c:title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name>lineárna závislosť A = f(l)</c:name>
            <c:trendlineType val="linear"/>
            <c:dispEq val="1"/>
            <c:trendlineLbl>
              <c:layout>
                <c:manualLayout>
                  <c:x val="0.35067845685956001"/>
                  <c:y val="-3.447069116360464E-4"/>
                </c:manualLayout>
              </c:layout>
              <c:numFmt formatCode="General" sourceLinked="0"/>
            </c:trendlineLbl>
          </c:trendline>
          <c:xVal>
            <c:numRef>
              <c:f>List1!$C$51:$C$55</c:f>
              <c:numCache>
                <c:formatCode>General</c:formatCode>
                <c:ptCount val="5"/>
                <c:pt idx="0">
                  <c:v>0.49900000000000005</c:v>
                </c:pt>
                <c:pt idx="1">
                  <c:v>0.999</c:v>
                </c:pt>
                <c:pt idx="2">
                  <c:v>1.9940000000000002</c:v>
                </c:pt>
                <c:pt idx="3">
                  <c:v>2.9949999999999997</c:v>
                </c:pt>
                <c:pt idx="4">
                  <c:v>5</c:v>
                </c:pt>
              </c:numCache>
            </c:numRef>
          </c:xVal>
          <c:yVal>
            <c:numRef>
              <c:f>List1!$D$51:$D$55</c:f>
              <c:numCache>
                <c:formatCode>General</c:formatCode>
                <c:ptCount val="5"/>
                <c:pt idx="0">
                  <c:v>8.0000000000000016E-2</c:v>
                </c:pt>
                <c:pt idx="1">
                  <c:v>0.22</c:v>
                </c:pt>
                <c:pt idx="2">
                  <c:v>0.43000000000000005</c:v>
                </c:pt>
                <c:pt idx="3">
                  <c:v>0.65000000000000013</c:v>
                </c:pt>
                <c:pt idx="4">
                  <c:v>1.04</c:v>
                </c:pt>
              </c:numCache>
            </c:numRef>
          </c:yVal>
        </c:ser>
        <c:axId val="121075584"/>
        <c:axId val="121287424"/>
      </c:scatterChart>
      <c:valAx>
        <c:axId val="1210755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sk-SK"/>
                  <a:t>l (cm)</a:t>
                </a:r>
              </a:p>
            </c:rich>
          </c:tx>
        </c:title>
        <c:numFmt formatCode="General" sourceLinked="1"/>
        <c:tickLblPos val="nextTo"/>
        <c:crossAx val="121287424"/>
        <c:crosses val="autoZero"/>
        <c:crossBetween val="midCat"/>
      </c:valAx>
      <c:valAx>
        <c:axId val="12128742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sk-SK"/>
                  <a:t>A</a:t>
                </a:r>
              </a:p>
            </c:rich>
          </c:tx>
        </c:title>
        <c:numFmt formatCode="General" sourceLinked="1"/>
        <c:tickLblPos val="nextTo"/>
        <c:crossAx val="12107558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E12B6"/>
    <w:rsid w:val="00DE12B6"/>
    <w:rsid w:val="00F43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E12B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Ivka</dc:creator>
  <cp:keywords/>
  <dc:description/>
  <cp:lastModifiedBy>Ivka</cp:lastModifiedBy>
  <cp:revision>18</cp:revision>
  <dcterms:created xsi:type="dcterms:W3CDTF">2016-10-26T16:37:00Z</dcterms:created>
  <dcterms:modified xsi:type="dcterms:W3CDTF">2016-11-21T13:29:00Z</dcterms:modified>
</cp:coreProperties>
</file>