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FB" w:rsidRPr="000D35FA" w:rsidRDefault="00911B6D" w:rsidP="00AC560D">
      <w:pPr>
        <w:pBdr>
          <w:bottom w:val="single" w:sz="4" w:space="1" w:color="auto"/>
        </w:pBdr>
        <w:jc w:val="center"/>
        <w:rPr>
          <w:b/>
        </w:rPr>
      </w:pPr>
      <w:bookmarkStart w:id="0" w:name="_GoBack"/>
      <w:bookmarkEnd w:id="0"/>
      <w:r>
        <w:rPr>
          <w:b/>
        </w:rPr>
        <w:t xml:space="preserve">Projekt </w:t>
      </w:r>
      <w:r w:rsidR="000D35FA" w:rsidRPr="000D35FA">
        <w:rPr>
          <w:b/>
        </w:rPr>
        <w:t>Digitálny žiak</w:t>
      </w:r>
    </w:p>
    <w:p w:rsidR="000D35FA" w:rsidRPr="00911B6D" w:rsidRDefault="000D35FA" w:rsidP="000D35FA">
      <w:pPr>
        <w:jc w:val="center"/>
        <w:rPr>
          <w:b/>
          <w:sz w:val="40"/>
          <w:szCs w:val="40"/>
        </w:rPr>
      </w:pPr>
      <w:r w:rsidRPr="00911B6D">
        <w:rPr>
          <w:b/>
          <w:sz w:val="40"/>
          <w:szCs w:val="40"/>
        </w:rPr>
        <w:t xml:space="preserve">Základné informácie pre </w:t>
      </w:r>
      <w:r w:rsidR="00904EA6">
        <w:rPr>
          <w:b/>
          <w:sz w:val="40"/>
          <w:szCs w:val="40"/>
        </w:rPr>
        <w:t>II.O-IV.O, II.A-IV.A</w:t>
      </w:r>
    </w:p>
    <w:p w:rsidR="000D35FA" w:rsidRDefault="000D35FA" w:rsidP="000D35FA">
      <w:pPr>
        <w:jc w:val="center"/>
        <w:rPr>
          <w:b/>
        </w:rPr>
      </w:pPr>
    </w:p>
    <w:p w:rsidR="00AC560D" w:rsidRPr="00AC560D" w:rsidRDefault="00AC560D" w:rsidP="00AC560D">
      <w:pPr>
        <w:rPr>
          <w:sz w:val="20"/>
          <w:szCs w:val="20"/>
        </w:rPr>
      </w:pPr>
      <w:r w:rsidRPr="00AC560D">
        <w:rPr>
          <w:sz w:val="20"/>
          <w:szCs w:val="20"/>
        </w:rPr>
        <w:t>Milí triedni učitelia!</w:t>
      </w:r>
    </w:p>
    <w:p w:rsidR="00AC560D" w:rsidRDefault="00AC560D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Ako som Vám avizoval na pracovnej porade, </w:t>
      </w:r>
      <w:r w:rsidR="00904EA6" w:rsidRPr="00904EA6">
        <w:rPr>
          <w:b/>
          <w:sz w:val="20"/>
          <w:szCs w:val="20"/>
        </w:rPr>
        <w:t>niektorí</w:t>
      </w:r>
      <w:r w:rsidRPr="00904EA6">
        <w:rPr>
          <w:b/>
          <w:sz w:val="20"/>
          <w:szCs w:val="20"/>
        </w:rPr>
        <w:t xml:space="preserve"> žiaci Vašej triedy </w:t>
      </w:r>
      <w:r w:rsidR="00904EA6" w:rsidRPr="00904EA6">
        <w:rPr>
          <w:b/>
          <w:sz w:val="20"/>
          <w:szCs w:val="20"/>
        </w:rPr>
        <w:t xml:space="preserve">môžu byť </w:t>
      </w:r>
      <w:r w:rsidRPr="00904EA6">
        <w:rPr>
          <w:b/>
          <w:sz w:val="20"/>
          <w:szCs w:val="20"/>
        </w:rPr>
        <w:t>v cieľovej skupine</w:t>
      </w:r>
      <w:r>
        <w:rPr>
          <w:sz w:val="20"/>
          <w:szCs w:val="20"/>
        </w:rPr>
        <w:t xml:space="preserve"> pre projekt Digitálny žiak. </w:t>
      </w:r>
      <w:r w:rsidR="00904EA6">
        <w:rPr>
          <w:sz w:val="20"/>
          <w:szCs w:val="20"/>
        </w:rPr>
        <w:t>Tí by</w:t>
      </w:r>
      <w:r>
        <w:rPr>
          <w:sz w:val="20"/>
          <w:szCs w:val="20"/>
        </w:rPr>
        <w:t xml:space="preserve"> teda</w:t>
      </w:r>
      <w:r w:rsidR="00904EA6">
        <w:rPr>
          <w:sz w:val="20"/>
          <w:szCs w:val="20"/>
        </w:rPr>
        <w:t xml:space="preserve"> mohli mať</w:t>
      </w:r>
      <w:r>
        <w:rPr>
          <w:sz w:val="20"/>
          <w:szCs w:val="20"/>
        </w:rPr>
        <w:t xml:space="preserve"> nárok na príspevok 350,- EUR príspevok na </w:t>
      </w:r>
      <w:r w:rsidR="000D25A6">
        <w:rPr>
          <w:sz w:val="20"/>
          <w:szCs w:val="20"/>
        </w:rPr>
        <w:t xml:space="preserve">notebook, </w:t>
      </w:r>
      <w:proofErr w:type="spellStart"/>
      <w:r w:rsidR="000D25A6">
        <w:rPr>
          <w:sz w:val="20"/>
          <w:szCs w:val="20"/>
        </w:rPr>
        <w:t>all</w:t>
      </w:r>
      <w:proofErr w:type="spellEnd"/>
      <w:r w:rsidR="000D25A6">
        <w:rPr>
          <w:sz w:val="20"/>
          <w:szCs w:val="20"/>
        </w:rPr>
        <w:t>-in-</w:t>
      </w:r>
      <w:proofErr w:type="spellStart"/>
      <w:r w:rsidR="000D25A6">
        <w:rPr>
          <w:sz w:val="20"/>
          <w:szCs w:val="20"/>
        </w:rPr>
        <w:t>one</w:t>
      </w:r>
      <w:proofErr w:type="spellEnd"/>
      <w:r w:rsidR="000D25A6">
        <w:rPr>
          <w:sz w:val="20"/>
          <w:szCs w:val="20"/>
        </w:rPr>
        <w:t xml:space="preserve"> počítač alebo tablet</w:t>
      </w:r>
      <w:r>
        <w:rPr>
          <w:sz w:val="20"/>
          <w:szCs w:val="20"/>
        </w:rPr>
        <w:t>.</w:t>
      </w:r>
    </w:p>
    <w:p w:rsidR="00AC560D" w:rsidRDefault="00AC560D" w:rsidP="00AC560D">
      <w:pPr>
        <w:rPr>
          <w:sz w:val="20"/>
          <w:szCs w:val="20"/>
        </w:rPr>
      </w:pPr>
      <w:r w:rsidRPr="000D25A6">
        <w:rPr>
          <w:b/>
          <w:sz w:val="20"/>
          <w:szCs w:val="20"/>
        </w:rPr>
        <w:t>Ú</w:t>
      </w:r>
      <w:r w:rsidR="000D25A6" w:rsidRPr="000D25A6">
        <w:rPr>
          <w:b/>
          <w:sz w:val="20"/>
          <w:szCs w:val="20"/>
        </w:rPr>
        <w:t>lohou triedneho učiteľa</w:t>
      </w:r>
      <w:r w:rsidR="00911B6D">
        <w:rPr>
          <w:b/>
          <w:sz w:val="20"/>
          <w:szCs w:val="20"/>
        </w:rPr>
        <w:t xml:space="preserve"> </w:t>
      </w:r>
      <w:r w:rsidR="00904EA6">
        <w:rPr>
          <w:b/>
          <w:sz w:val="20"/>
          <w:szCs w:val="20"/>
        </w:rPr>
        <w:t>ostatných</w:t>
      </w:r>
      <w:r w:rsidR="00911B6D">
        <w:rPr>
          <w:b/>
          <w:sz w:val="20"/>
          <w:szCs w:val="20"/>
        </w:rPr>
        <w:t xml:space="preserve"> ročníkov</w:t>
      </w:r>
      <w:r>
        <w:rPr>
          <w:sz w:val="20"/>
          <w:szCs w:val="20"/>
        </w:rPr>
        <w:t xml:space="preserve"> v rámci projektu je najmä:</w:t>
      </w:r>
    </w:p>
    <w:p w:rsidR="00130B5B" w:rsidRDefault="00904EA6" w:rsidP="00130B5B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Vytipovať žiakov triedy, ktorí by mohli spada</w:t>
      </w:r>
      <w:r w:rsidR="00130B5B">
        <w:rPr>
          <w:sz w:val="20"/>
          <w:szCs w:val="20"/>
        </w:rPr>
        <w:t xml:space="preserve">ť do niektorej cieľovej skupiny. </w:t>
      </w:r>
      <w:r w:rsidR="00130B5B" w:rsidRPr="00130B5B">
        <w:rPr>
          <w:b/>
          <w:sz w:val="20"/>
          <w:szCs w:val="20"/>
        </w:rPr>
        <w:t xml:space="preserve">V prípade zvolenia správnej cieľovej skupiny nie je našou úlohou zisťovať od rodičov či ich domácnosť spadá do danej kategórie ani </w:t>
      </w:r>
      <w:r w:rsidR="00130B5B">
        <w:rPr>
          <w:b/>
          <w:sz w:val="20"/>
          <w:szCs w:val="20"/>
        </w:rPr>
        <w:t xml:space="preserve">im </w:t>
      </w:r>
      <w:r w:rsidR="00130B5B" w:rsidRPr="00130B5B">
        <w:rPr>
          <w:b/>
          <w:sz w:val="20"/>
          <w:szCs w:val="20"/>
        </w:rPr>
        <w:t xml:space="preserve">to pomáhať počítať. Máme ich len </w:t>
      </w:r>
      <w:r w:rsidR="00130B5B">
        <w:rPr>
          <w:b/>
          <w:sz w:val="20"/>
          <w:szCs w:val="20"/>
        </w:rPr>
        <w:t>informovať</w:t>
      </w:r>
      <w:r w:rsidR="00130B5B" w:rsidRPr="00130B5B">
        <w:rPr>
          <w:b/>
          <w:sz w:val="20"/>
          <w:szCs w:val="20"/>
        </w:rPr>
        <w:t>, že takáto možnosť existuje</w:t>
      </w:r>
      <w:r w:rsidR="00130B5B">
        <w:rPr>
          <w:b/>
          <w:sz w:val="20"/>
          <w:szCs w:val="20"/>
        </w:rPr>
        <w:t xml:space="preserve"> a odporučiť im webstránku, príp. </w:t>
      </w:r>
      <w:proofErr w:type="spellStart"/>
      <w:r w:rsidR="00130B5B">
        <w:rPr>
          <w:b/>
          <w:sz w:val="20"/>
          <w:szCs w:val="20"/>
        </w:rPr>
        <w:t>callcentrum</w:t>
      </w:r>
      <w:proofErr w:type="spellEnd"/>
      <w:r w:rsidR="00130B5B">
        <w:rPr>
          <w:b/>
          <w:sz w:val="20"/>
          <w:szCs w:val="20"/>
        </w:rPr>
        <w:t xml:space="preserve"> projektu </w:t>
      </w:r>
      <w:r w:rsidR="00130B5B" w:rsidRPr="00130B5B">
        <w:rPr>
          <w:sz w:val="20"/>
          <w:szCs w:val="20"/>
        </w:rPr>
        <w:t>(</w:t>
      </w:r>
      <w:r w:rsidR="00130B5B" w:rsidRPr="00130B5B">
        <w:rPr>
          <w:i/>
          <w:sz w:val="20"/>
          <w:szCs w:val="20"/>
        </w:rPr>
        <w:t>na poslednej strane</w:t>
      </w:r>
      <w:r w:rsidR="00130B5B" w:rsidRPr="00130B5B">
        <w:rPr>
          <w:sz w:val="20"/>
          <w:szCs w:val="20"/>
        </w:rPr>
        <w:t>).</w:t>
      </w:r>
      <w:r w:rsidR="00130B5B">
        <w:rPr>
          <w:sz w:val="20"/>
          <w:szCs w:val="20"/>
        </w:rPr>
        <w:t xml:space="preserve"> </w:t>
      </w:r>
    </w:p>
    <w:p w:rsidR="00AC560D" w:rsidRDefault="00AC560D" w:rsidP="00AC560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Zvolať stretnutie so zákonnými zástupcami žiakov (bude 20.4.2023) – inštruktáž,</w:t>
      </w:r>
    </w:p>
    <w:p w:rsidR="00AC560D" w:rsidRPr="00130B5B" w:rsidRDefault="00AC560D" w:rsidP="009E7750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30B5B">
        <w:rPr>
          <w:sz w:val="20"/>
          <w:szCs w:val="20"/>
        </w:rPr>
        <w:t>Podať</w:t>
      </w:r>
      <w:r w:rsidR="00911B6D" w:rsidRPr="00130B5B">
        <w:rPr>
          <w:sz w:val="20"/>
          <w:szCs w:val="20"/>
        </w:rPr>
        <w:t xml:space="preserve"> rodičom</w:t>
      </w:r>
      <w:r w:rsidRPr="00130B5B">
        <w:rPr>
          <w:sz w:val="20"/>
          <w:szCs w:val="20"/>
        </w:rPr>
        <w:t xml:space="preserve"> kompletnú informáciu o projekte, </w:t>
      </w:r>
      <w:r w:rsidR="000D25A6" w:rsidRPr="00130B5B">
        <w:rPr>
          <w:sz w:val="20"/>
          <w:szCs w:val="20"/>
        </w:rPr>
        <w:t xml:space="preserve">o </w:t>
      </w:r>
      <w:r w:rsidRPr="00130B5B">
        <w:rPr>
          <w:sz w:val="20"/>
          <w:szCs w:val="20"/>
        </w:rPr>
        <w:t>podmienkach posk</w:t>
      </w:r>
      <w:r w:rsidR="002B1417" w:rsidRPr="00130B5B">
        <w:rPr>
          <w:sz w:val="20"/>
          <w:szCs w:val="20"/>
        </w:rPr>
        <w:t xml:space="preserve">ytnutia príspevku. </w:t>
      </w:r>
      <w:r w:rsidRPr="00130B5B">
        <w:rPr>
          <w:sz w:val="20"/>
          <w:szCs w:val="20"/>
        </w:rPr>
        <w:t>Odporučiť im registráciu na stránke digitalnyziak.sk najneskôr do 30.06.2023.</w:t>
      </w:r>
    </w:p>
    <w:p w:rsidR="00AC560D" w:rsidRDefault="00AC560D" w:rsidP="00AC560D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Vyhotoviť Prezenčnú listinu zo stretnutia a zabezpečiť podpisy zákonných zástupcov. (Keďže zatiaľ nám z projektu nezaslali žiadnu zmluvu pre školu ani žiaden vzor prezenčnej listiny, rodičom dáme len našu bežnú </w:t>
      </w:r>
      <w:proofErr w:type="spellStart"/>
      <w:r>
        <w:rPr>
          <w:sz w:val="20"/>
          <w:szCs w:val="20"/>
        </w:rPr>
        <w:t>prezenčku</w:t>
      </w:r>
      <w:proofErr w:type="spellEnd"/>
      <w:r>
        <w:rPr>
          <w:sz w:val="20"/>
          <w:szCs w:val="20"/>
        </w:rPr>
        <w:t xml:space="preserve"> s doplnením názvu projektu a neskôr bude potrebné zabezpečiť podpisy opäť.)</w:t>
      </w:r>
    </w:p>
    <w:p w:rsidR="00904EA6" w:rsidRPr="00904EA6" w:rsidRDefault="00904EA6" w:rsidP="00AC560D">
      <w:pPr>
        <w:rPr>
          <w:b/>
          <w:sz w:val="20"/>
          <w:szCs w:val="20"/>
        </w:rPr>
      </w:pPr>
      <w:r w:rsidRPr="00904EA6">
        <w:rPr>
          <w:b/>
          <w:sz w:val="20"/>
          <w:szCs w:val="20"/>
        </w:rPr>
        <w:t xml:space="preserve">Možné cieľové skupiny </w:t>
      </w:r>
      <w:r>
        <w:rPr>
          <w:b/>
          <w:sz w:val="20"/>
          <w:szCs w:val="20"/>
        </w:rPr>
        <w:t xml:space="preserve">žiakov </w:t>
      </w:r>
      <w:r w:rsidRPr="00904EA6">
        <w:rPr>
          <w:b/>
          <w:sz w:val="20"/>
          <w:szCs w:val="20"/>
        </w:rPr>
        <w:t>z Vašej triedy:</w:t>
      </w:r>
    </w:p>
    <w:p w:rsidR="00904EA6" w:rsidRPr="00904EA6" w:rsidRDefault="00904EA6" w:rsidP="00904EA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04EA6">
        <w:rPr>
          <w:sz w:val="20"/>
          <w:szCs w:val="20"/>
        </w:rPr>
        <w:t xml:space="preserve">žiaci, ktorí sú členmi </w:t>
      </w:r>
      <w:r w:rsidRPr="00904EA6">
        <w:rPr>
          <w:b/>
          <w:sz w:val="20"/>
          <w:szCs w:val="20"/>
        </w:rPr>
        <w:t>domácnosti v hmotnej núdzi</w:t>
      </w:r>
      <w:r w:rsidRPr="00904EA6">
        <w:rPr>
          <w:sz w:val="20"/>
          <w:szCs w:val="20"/>
        </w:rPr>
        <w:t xml:space="preserve"> (príjem členov domácnosti nedosahuje sumy životného minima)</w:t>
      </w:r>
      <w:r w:rsidR="002B1417">
        <w:rPr>
          <w:sz w:val="20"/>
          <w:szCs w:val="20"/>
        </w:rPr>
        <w:t xml:space="preserve"> – posudzuje </w:t>
      </w:r>
      <w:proofErr w:type="spellStart"/>
      <w:r w:rsidR="002B1417">
        <w:rPr>
          <w:sz w:val="20"/>
          <w:szCs w:val="20"/>
        </w:rPr>
        <w:t>UPSVaR</w:t>
      </w:r>
      <w:proofErr w:type="spellEnd"/>
      <w:r w:rsidR="002B1417">
        <w:rPr>
          <w:sz w:val="20"/>
          <w:szCs w:val="20"/>
        </w:rPr>
        <w:t xml:space="preserve"> a rodina by teda mala byť posúdená ako domácnosť v hmotnej núdzi a mať o tom doklad (poberať pomoc v hmotnej núdzi) ešte pred samotnou registráciou.</w:t>
      </w:r>
    </w:p>
    <w:p w:rsidR="00904EA6" w:rsidRPr="00130B5B" w:rsidRDefault="00904EA6" w:rsidP="00130B5B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 xml:space="preserve">žiaci, ktorí sú členmi </w:t>
      </w:r>
      <w:r w:rsidRPr="002B1417">
        <w:rPr>
          <w:b/>
          <w:sz w:val="20"/>
          <w:szCs w:val="20"/>
        </w:rPr>
        <w:t>domácností, ktoré neprekračujú 60% mediánu príjmu</w:t>
      </w:r>
      <w:r w:rsidRPr="002B1417">
        <w:rPr>
          <w:sz w:val="20"/>
          <w:szCs w:val="20"/>
        </w:rPr>
        <w:t xml:space="preserve"> (na základe potvrdenia o výške príjmu, resp.</w:t>
      </w:r>
      <w:r w:rsidRPr="00904EA6">
        <w:t xml:space="preserve"> </w:t>
      </w:r>
      <w:r w:rsidRPr="002B1417">
        <w:rPr>
          <w:sz w:val="20"/>
          <w:szCs w:val="20"/>
        </w:rPr>
        <w:t>doklad o nevykonávaní zárobkovej činnosti, napr. potvrdenie o nezamestnanej osobe</w:t>
      </w:r>
      <w:r w:rsidR="002B1417" w:rsidRPr="002B1417">
        <w:rPr>
          <w:sz w:val="20"/>
          <w:szCs w:val="20"/>
        </w:rPr>
        <w:t xml:space="preserve">) – </w:t>
      </w:r>
      <w:r w:rsidR="002B1417" w:rsidRPr="00130B5B">
        <w:rPr>
          <w:sz w:val="20"/>
          <w:szCs w:val="20"/>
          <w:u w:val="single"/>
        </w:rPr>
        <w:t>Ak si rodič nie je samotným výpočtom istý, poraďte mu vyplniť registračný formulár</w:t>
      </w:r>
      <w:r w:rsidR="002B1417" w:rsidRPr="002B1417">
        <w:rPr>
          <w:sz w:val="20"/>
          <w:szCs w:val="20"/>
        </w:rPr>
        <w:t>, kde následne realizátor projektu overí v registroch štátnej správy oprávnenosť žiaka z danej domácnosti pre získanie príspevku, o čom bude zákonného zástupcu informovať prostredníctvom SMS správy, odoslanej na telefónne číslo uvedené pri registrácii.</w:t>
      </w:r>
    </w:p>
    <w:p w:rsidR="00904EA6" w:rsidRPr="00904EA6" w:rsidRDefault="00904EA6" w:rsidP="00904EA6">
      <w:pPr>
        <w:rPr>
          <w:b/>
          <w:sz w:val="20"/>
          <w:szCs w:val="20"/>
        </w:rPr>
      </w:pPr>
      <w:r>
        <w:rPr>
          <w:b/>
          <w:sz w:val="20"/>
          <w:szCs w:val="20"/>
        </w:rPr>
        <w:t>Vysvetlivky:</w:t>
      </w:r>
    </w:p>
    <w:p w:rsidR="002B1417" w:rsidRPr="002B1417" w:rsidRDefault="002B1417" w:rsidP="002B1417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2B1417">
        <w:rPr>
          <w:b/>
          <w:sz w:val="20"/>
          <w:szCs w:val="20"/>
        </w:rPr>
        <w:t xml:space="preserve">Hmotná núdza </w:t>
      </w:r>
      <w:r w:rsidRPr="002B1417">
        <w:rPr>
          <w:sz w:val="20"/>
          <w:szCs w:val="20"/>
        </w:rPr>
        <w:t>je stav, keď príjem členov domácnosti  nedosahuje sumy životného minima a členovia domácnosti si nevedia alebo nemôžu prácou, výkonom vlastníckeho práva alebo iného práva k majetku a uplatnením nárokov zabezpečiť príjem alebo zvýšiť príjem. Základné životné podmienky na účely tohto zákona sú jedno teplé jedlo denne, nevyhnutné ošatenie a prístrešie. Hmotná núdza sa zisťuje posúdením príjmu, majetku a možnosti uplatnenia nárokov členov domácnosti. Nárok na pomoc v hmotnej núdzi vzniká fyzickej osobe v hmotnej núdzi, ak spĺňa podmienky ustanovené v zákone o pomoci v hmotnej núdzi. Výška pomoci v hmotnej núdzi sa vypočíta ako rozdiel medzi sumou nárokov na dávku a jednotlivé príspevky a príjmom. Nárok na pomoc v hmotnej núdzi vzniká najskôr v kalendárnom mesiaci, v ktorom občan požiadal o pomoc v hmotnej núdzi. Pomoc v hmotnej núdzi je: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dávka v hmotnej núdzi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ochranný príspevok,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aktivačný príspevok,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príspevok na nezaopatrené dieťa,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príspevok na bývanie.</w:t>
      </w:r>
    </w:p>
    <w:p w:rsidR="00904EA6" w:rsidRDefault="00904EA6" w:rsidP="002B1417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04EA6">
        <w:rPr>
          <w:b/>
          <w:sz w:val="20"/>
          <w:szCs w:val="20"/>
        </w:rPr>
        <w:lastRenderedPageBreak/>
        <w:t>Medián príjmu domácnosti</w:t>
      </w:r>
      <w:r w:rsidRPr="00904EA6">
        <w:rPr>
          <w:sz w:val="20"/>
          <w:szCs w:val="20"/>
        </w:rPr>
        <w:t xml:space="preserve"> je stredná hodnota príjmu identickej skupiny domácností, ktorá rozdeľuje celú skupinu na dve presné polovice – teda jednu polovicu domácností, ktorá má súčet príjmov nižší ako druhá polovica a druhú polovicu domácností, ktorá má súčet príjmov vyšší ako prvá polovica. Medián príjmu je hodnota vyjadrená výpočtom pre danú skupinu domácností a nevypočítava sa na konkrétnu domácnosť. Dôležitým faktorom pre objektívne posúdenie príjmových parametrov je skladba domácnosti – teda počet dospelých osôb a detí zaradených do vekových skupín. Ďalším parametrom je výška príjmov, ktoré domácnosť získala v posudzovanom období, do ktorých sa započítava hrubý ročný príjem, dôchodok, príspevky na deti, sociálne dávky a iné príjmy, ktoré domácnosť v posudzovanom období získala. Kľúčom k identifikácii oprávnenosti získania príspevku na nákup digitálnej techniky v rámci projektu Digitálny žiak, je presný súčet všetkých príjmov domácnosti a porovnanie s indikatívnou tabuľkou mediánu príjmu pre relevantný typ domácnosti. </w:t>
      </w:r>
    </w:p>
    <w:p w:rsidR="002B1417" w:rsidRPr="00904EA6" w:rsidRDefault="002B1417" w:rsidP="002B1417">
      <w:pPr>
        <w:pStyle w:val="Odsekzoznamu"/>
        <w:rPr>
          <w:sz w:val="20"/>
          <w:szCs w:val="20"/>
        </w:rPr>
      </w:pPr>
    </w:p>
    <w:p w:rsidR="00904EA6" w:rsidRPr="00904EA6" w:rsidRDefault="00904EA6" w:rsidP="00904EA6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904EA6">
        <w:rPr>
          <w:b/>
          <w:sz w:val="20"/>
          <w:szCs w:val="20"/>
        </w:rPr>
        <w:t>Indikatívna tabuľka výpočtu mediánu príjmu pre vybrané typy domácností:</w:t>
      </w:r>
    </w:p>
    <w:p w:rsidR="00904EA6" w:rsidRDefault="00904EA6" w:rsidP="00AC560D">
      <w:pPr>
        <w:rPr>
          <w:sz w:val="20"/>
          <w:szCs w:val="20"/>
        </w:rPr>
      </w:pPr>
      <w:r>
        <w:rPr>
          <w:noProof/>
          <w:lang w:eastAsia="sk-SK"/>
        </w:rPr>
        <w:drawing>
          <wp:inline distT="0" distB="0" distL="0" distR="0" wp14:anchorId="586CFD59" wp14:editId="0CFE6BD8">
            <wp:extent cx="5760720" cy="37801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D" w:rsidRDefault="00AC560D" w:rsidP="00AC560D">
      <w:pPr>
        <w:rPr>
          <w:sz w:val="20"/>
          <w:szCs w:val="20"/>
        </w:rPr>
      </w:pPr>
      <w:r>
        <w:rPr>
          <w:sz w:val="20"/>
          <w:szCs w:val="20"/>
        </w:rPr>
        <w:t>Za každého žiaka</w:t>
      </w:r>
      <w:r w:rsidR="000D25A6">
        <w:rPr>
          <w:sz w:val="20"/>
          <w:szCs w:val="20"/>
        </w:rPr>
        <w:t xml:space="preserve">, ktorého rodič bude na </w:t>
      </w:r>
      <w:proofErr w:type="spellStart"/>
      <w:r w:rsidR="000D25A6">
        <w:rPr>
          <w:sz w:val="20"/>
          <w:szCs w:val="20"/>
        </w:rPr>
        <w:t>prezenčke</w:t>
      </w:r>
      <w:proofErr w:type="spellEnd"/>
      <w:r w:rsidR="000D25A6">
        <w:rPr>
          <w:sz w:val="20"/>
          <w:szCs w:val="20"/>
        </w:rPr>
        <w:t xml:space="preserve"> a následne si uplatní 350,- € príspevok, dostane škola 7,50 €. Keďže však nemáme zmluvu, nevieme zatiaľ ako budeme môcť peniaze využiť.</w:t>
      </w: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>Pred Rodičovským združením odporúčam preštudovať hlavne tieto  3 materiály zverejnené na digitalnyziak.sk</w:t>
      </w:r>
      <w:r w:rsidR="00911B6D">
        <w:rPr>
          <w:sz w:val="20"/>
          <w:szCs w:val="20"/>
        </w:rPr>
        <w:t xml:space="preserve"> (máte aj v prílohe)</w:t>
      </w:r>
      <w:r>
        <w:rPr>
          <w:sz w:val="20"/>
          <w:szCs w:val="20"/>
        </w:rPr>
        <w:t>:</w:t>
      </w:r>
    </w:p>
    <w:p w:rsidR="000D25A6" w:rsidRDefault="00E730EA" w:rsidP="00911B6D">
      <w:pPr>
        <w:pStyle w:val="Odsekzoznamu"/>
        <w:numPr>
          <w:ilvl w:val="0"/>
          <w:numId w:val="2"/>
        </w:numPr>
        <w:rPr>
          <w:sz w:val="20"/>
          <w:szCs w:val="20"/>
        </w:rPr>
      </w:pPr>
      <w:hyperlink r:id="rId6" w:history="1">
        <w:r w:rsidR="00911B6D" w:rsidRPr="00A4158E">
          <w:rPr>
            <w:rStyle w:val="Hypertextovprepojenie"/>
            <w:sz w:val="20"/>
            <w:szCs w:val="20"/>
          </w:rPr>
          <w:t>https://digitalnyziak.sk/wp-content/uploads/2023/03/Metodicke-usmernenie-Postup-pri-komunikacii.pdf</w:t>
        </w:r>
      </w:hyperlink>
    </w:p>
    <w:p w:rsidR="00911B6D" w:rsidRDefault="00E730EA" w:rsidP="00911B6D">
      <w:pPr>
        <w:pStyle w:val="Odsekzoznamu"/>
        <w:numPr>
          <w:ilvl w:val="0"/>
          <w:numId w:val="2"/>
        </w:numPr>
        <w:rPr>
          <w:sz w:val="20"/>
          <w:szCs w:val="20"/>
        </w:rPr>
      </w:pPr>
      <w:hyperlink r:id="rId7" w:history="1">
        <w:r w:rsidR="00911B6D" w:rsidRPr="00A4158E">
          <w:rPr>
            <w:rStyle w:val="Hypertextovprepojenie"/>
            <w:sz w:val="20"/>
            <w:szCs w:val="20"/>
          </w:rPr>
          <w:t>https://digitalnyziak.sk/wp-content/uploads/2023/03/Metodicke-usmernenie-opis-digitalnych-zariadeni.pdf</w:t>
        </w:r>
      </w:hyperlink>
    </w:p>
    <w:p w:rsidR="00911B6D" w:rsidRDefault="00E730EA" w:rsidP="00911B6D">
      <w:pPr>
        <w:pStyle w:val="Odsekzoznamu"/>
        <w:numPr>
          <w:ilvl w:val="0"/>
          <w:numId w:val="2"/>
        </w:numPr>
        <w:rPr>
          <w:sz w:val="20"/>
          <w:szCs w:val="20"/>
        </w:rPr>
      </w:pPr>
      <w:hyperlink r:id="rId8" w:history="1">
        <w:r w:rsidR="00911B6D" w:rsidRPr="00A4158E">
          <w:rPr>
            <w:rStyle w:val="Hypertextovprepojenie"/>
            <w:sz w:val="20"/>
            <w:szCs w:val="20"/>
          </w:rPr>
          <w:t>https://digitalnyziak.sk/wp-content/uploads/2023/03/Metodicke-usmernenie-caste-otazky-a-odpovede.pdf</w:t>
        </w:r>
      </w:hyperlink>
      <w:r w:rsidR="00911B6D">
        <w:rPr>
          <w:sz w:val="20"/>
          <w:szCs w:val="20"/>
        </w:rPr>
        <w:t xml:space="preserve"> </w:t>
      </w:r>
    </w:p>
    <w:p w:rsidR="000D25A6" w:rsidRDefault="000D25A6" w:rsidP="00AC560D">
      <w:pPr>
        <w:rPr>
          <w:sz w:val="20"/>
          <w:szCs w:val="20"/>
        </w:rPr>
      </w:pP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Ďalšie informácie pre nás ako pre školy nájdete na: </w:t>
      </w:r>
      <w:hyperlink r:id="rId9" w:history="1">
        <w:r w:rsidRPr="00A4158E">
          <w:rPr>
            <w:rStyle w:val="Hypertextovprepojenie"/>
            <w:sz w:val="20"/>
            <w:szCs w:val="20"/>
          </w:rPr>
          <w:t>https://digitalnyziak.sk/skoly/</w:t>
        </w:r>
      </w:hyperlink>
      <w:r>
        <w:rPr>
          <w:sz w:val="20"/>
          <w:szCs w:val="20"/>
        </w:rPr>
        <w:t xml:space="preserve"> </w:t>
      </w:r>
    </w:p>
    <w:p w:rsidR="000D25A6" w:rsidRDefault="000D25A6" w:rsidP="00AC560D">
      <w:pPr>
        <w:rPr>
          <w:sz w:val="20"/>
          <w:szCs w:val="20"/>
        </w:rPr>
      </w:pPr>
      <w:r>
        <w:rPr>
          <w:sz w:val="20"/>
          <w:szCs w:val="20"/>
        </w:rPr>
        <w:t xml:space="preserve">Pre registráciu rodičov odkazujte na: </w:t>
      </w:r>
      <w:hyperlink r:id="rId10" w:history="1">
        <w:r w:rsidRPr="00A4158E">
          <w:rPr>
            <w:rStyle w:val="Hypertextovprepojenie"/>
            <w:sz w:val="20"/>
            <w:szCs w:val="20"/>
          </w:rPr>
          <w:t>https://register.digitalnyziak.sk/</w:t>
        </w:r>
      </w:hyperlink>
      <w:r>
        <w:rPr>
          <w:sz w:val="20"/>
          <w:szCs w:val="20"/>
        </w:rPr>
        <w:t xml:space="preserve"> </w:t>
      </w:r>
    </w:p>
    <w:p w:rsidR="000D25A6" w:rsidRDefault="000D25A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  <w:r>
        <w:rPr>
          <w:sz w:val="20"/>
          <w:szCs w:val="20"/>
        </w:rPr>
        <w:lastRenderedPageBreak/>
        <w:t xml:space="preserve">Pri nejasnostiach rodičov odkazujte na </w:t>
      </w:r>
      <w:hyperlink r:id="rId11" w:history="1">
        <w:r w:rsidRPr="00A4158E">
          <w:rPr>
            <w:rStyle w:val="Hypertextovprepojenie"/>
            <w:sz w:val="20"/>
            <w:szCs w:val="20"/>
          </w:rPr>
          <w:t>https://digitalnyziak.sk/rodicia/</w:t>
        </w:r>
      </w:hyperlink>
      <w:r>
        <w:rPr>
          <w:sz w:val="20"/>
          <w:szCs w:val="20"/>
        </w:rPr>
        <w:t xml:space="preserve"> prípadne na </w:t>
      </w:r>
      <w:proofErr w:type="spellStart"/>
      <w:r>
        <w:rPr>
          <w:sz w:val="20"/>
          <w:szCs w:val="20"/>
        </w:rPr>
        <w:t>callcentrum</w:t>
      </w:r>
      <w:proofErr w:type="spellEnd"/>
      <w:r>
        <w:rPr>
          <w:sz w:val="20"/>
          <w:szCs w:val="20"/>
        </w:rPr>
        <w:t xml:space="preserve"> </w:t>
      </w: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+421/232 284466. </w:t>
      </w:r>
    </w:p>
    <w:p w:rsidR="00911B6D" w:rsidRDefault="00911B6D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911B6D" w:rsidRDefault="00911B6D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P.S. Pred rodičovským si môžeme zorganizovať krátke stretnutie triednych, na ktorých zodpovieme zostávajúce informácie. Bližšie informácie zajtra.</w:t>
      </w:r>
    </w:p>
    <w:p w:rsidR="00FE38C6" w:rsidRDefault="00FE38C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FE38C6" w:rsidRDefault="00FE38C6" w:rsidP="00FE38C6">
      <w:pPr>
        <w:jc w:val="right"/>
        <w:rPr>
          <w:sz w:val="20"/>
          <w:szCs w:val="20"/>
        </w:rPr>
      </w:pP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D. Andraško</w:t>
      </w:r>
    </w:p>
    <w:p w:rsidR="000D25A6" w:rsidRDefault="000D25A6" w:rsidP="00AC560D">
      <w:pPr>
        <w:rPr>
          <w:sz w:val="20"/>
          <w:szCs w:val="20"/>
        </w:rPr>
      </w:pPr>
    </w:p>
    <w:p w:rsidR="000D25A6" w:rsidRPr="00AC560D" w:rsidRDefault="000D25A6" w:rsidP="00AC560D">
      <w:pPr>
        <w:rPr>
          <w:sz w:val="20"/>
          <w:szCs w:val="20"/>
        </w:rPr>
      </w:pPr>
    </w:p>
    <w:p w:rsidR="00AC560D" w:rsidRPr="00AC560D" w:rsidRDefault="00AC560D" w:rsidP="00AC560D">
      <w:pPr>
        <w:rPr>
          <w:sz w:val="20"/>
          <w:szCs w:val="20"/>
        </w:rPr>
      </w:pPr>
    </w:p>
    <w:p w:rsidR="000D35FA" w:rsidRPr="000D35FA" w:rsidRDefault="000D35FA" w:rsidP="000D35FA">
      <w:pPr>
        <w:jc w:val="center"/>
        <w:rPr>
          <w:b/>
        </w:rPr>
      </w:pPr>
    </w:p>
    <w:sectPr w:rsidR="000D35FA" w:rsidRPr="000D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561F3"/>
    <w:multiLevelType w:val="hybridMultilevel"/>
    <w:tmpl w:val="E3667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23051"/>
    <w:multiLevelType w:val="hybridMultilevel"/>
    <w:tmpl w:val="C45EE1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FA"/>
    <w:rsid w:val="000D25A6"/>
    <w:rsid w:val="000D35FA"/>
    <w:rsid w:val="00130B5B"/>
    <w:rsid w:val="002803FB"/>
    <w:rsid w:val="002B1417"/>
    <w:rsid w:val="00904EA6"/>
    <w:rsid w:val="00911B6D"/>
    <w:rsid w:val="00AC560D"/>
    <w:rsid w:val="00C10F2D"/>
    <w:rsid w:val="00E730EA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99A4C-1DDE-41B3-A29B-DDD57315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6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2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nyziak.sk/wp-content/uploads/2023/03/Metodicke-usmernenie-caste-otazky-a-odpoved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gitalnyziak.sk/wp-content/uploads/2023/03/Metodicke-usmernenie-opis-digitalnych-zariaden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nyziak.sk/wp-content/uploads/2023/03/Metodicke-usmernenie-Postup-pri-komunikacii.pdf" TargetMode="External"/><Relationship Id="rId11" Type="http://schemas.openxmlformats.org/officeDocument/2006/relationships/hyperlink" Target="https://digitalnyziak.sk/rodici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gister.digitalnyziak.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nyziak.sk/skoly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HP</cp:lastModifiedBy>
  <cp:revision>2</cp:revision>
  <dcterms:created xsi:type="dcterms:W3CDTF">2023-04-19T19:49:00Z</dcterms:created>
  <dcterms:modified xsi:type="dcterms:W3CDTF">2023-04-19T19:49:00Z</dcterms:modified>
</cp:coreProperties>
</file>