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E35A" w14:textId="77777777" w:rsidR="00B513D3" w:rsidRDefault="00B513D3">
      <w:pPr>
        <w:spacing w:before="1200"/>
      </w:pPr>
    </w:p>
    <w:p w14:paraId="716EBBA0" w14:textId="77777777" w:rsidR="00B513D3" w:rsidRDefault="00000000">
      <w:pPr>
        <w:spacing w:after="120"/>
        <w:jc w:val="center"/>
      </w:pPr>
      <w:r>
        <w:rPr>
          <w:b/>
          <w:bCs/>
          <w:color w:val="1F3864"/>
          <w:sz w:val="44"/>
          <w:szCs w:val="44"/>
        </w:rPr>
        <w:t>Sector Rotation &amp; Risk Dashboard</w:t>
      </w:r>
    </w:p>
    <w:p w14:paraId="4020D15A" w14:textId="77777777" w:rsidR="00B513D3" w:rsidRDefault="00000000">
      <w:pPr>
        <w:spacing w:after="60"/>
        <w:jc w:val="center"/>
      </w:pPr>
      <w:r>
        <w:rPr>
          <w:color w:val="595959"/>
          <w:sz w:val="28"/>
          <w:szCs w:val="28"/>
        </w:rPr>
        <w:t>Project Documentation &amp; Progress Log</w:t>
      </w:r>
    </w:p>
    <w:p w14:paraId="460C36A6" w14:textId="2E4FBB5C" w:rsidR="00B513D3" w:rsidRDefault="00000000">
      <w:pPr>
        <w:spacing w:after="400"/>
        <w:jc w:val="center"/>
      </w:pPr>
      <w:r>
        <w:rPr>
          <w:i/>
          <w:iCs/>
          <w:color w:val="595959"/>
          <w:sz w:val="22"/>
          <w:szCs w:val="22"/>
        </w:rPr>
        <w:t>Client: Meridian Capital Advisors</w:t>
      </w:r>
    </w:p>
    <w:p w14:paraId="5D9946AF" w14:textId="77777777" w:rsidR="00B513D3" w:rsidRDefault="00B513D3">
      <w:pPr>
        <w:pBdr>
          <w:bottom w:val="single" w:sz="6" w:space="1" w:color="AAAAAA"/>
        </w:pBdr>
        <w:spacing w:after="200"/>
      </w:pPr>
    </w:p>
    <w:p w14:paraId="5C39933F" w14:textId="77777777" w:rsidR="00B513D3" w:rsidRDefault="00000000">
      <w:pPr>
        <w:pStyle w:val="Heading1"/>
        <w:spacing w:before="360" w:after="160"/>
      </w:pPr>
      <w:r>
        <w:t>1. Project Overview</w:t>
      </w:r>
    </w:p>
    <w:p w14:paraId="27D2B267" w14:textId="05B1DD41" w:rsidR="00B513D3" w:rsidRDefault="00000000">
      <w:pPr>
        <w:spacing w:after="100"/>
      </w:pPr>
      <w:r>
        <w:rPr>
          <w:b/>
          <w:bCs/>
        </w:rPr>
        <w:t xml:space="preserve">Background: </w:t>
      </w:r>
      <w:r>
        <w:t>Meridian's Investment Committee review</w:t>
      </w:r>
      <w:r w:rsidR="007B43E6">
        <w:t>s</w:t>
      </w:r>
      <w:r>
        <w:t xml:space="preserve"> sector allocations quarterly using a manual spreadsheet process. The process was slow, inconsistent across analysts, and only considered raw returns with no way to assess whether high returns were achieved by taking on excess risk.</w:t>
      </w:r>
    </w:p>
    <w:p w14:paraId="5912DD14" w14:textId="77777777" w:rsidR="00B513D3" w:rsidRDefault="00000000">
      <w:pPr>
        <w:spacing w:after="100"/>
      </w:pPr>
      <w:r>
        <w:rPr>
          <w:b/>
          <w:bCs/>
        </w:rPr>
        <w:t xml:space="preserve">Goal: </w:t>
      </w:r>
      <w:r>
        <w:t>Build a repeatable, risk-aware analytics layer and a self-service Power BI dashboard so the committee can evaluate sector performance and risk without a manual spreadsheet exercise each quarter.</w:t>
      </w:r>
    </w:p>
    <w:p w14:paraId="43B822EE" w14:textId="77777777" w:rsidR="00B513D3" w:rsidRDefault="00000000">
      <w:pPr>
        <w:spacing w:after="100"/>
      </w:pPr>
      <w:r>
        <w:rPr>
          <w:b/>
          <w:bCs/>
        </w:rPr>
        <w:t xml:space="preserve">Scope: </w:t>
      </w:r>
      <w:r>
        <w:t>11 SPDR sector ETFs (XLK, XLF, XLE, XLV, XLY, XLP, XLI, XLB, XLU, XLRE, XLC), 3-year daily lookback, return/volatility/Sharpe/correlation metrics, one multi-page Power BI report.</w:t>
      </w:r>
    </w:p>
    <w:p w14:paraId="0A20D610" w14:textId="77777777" w:rsidR="00B513D3" w:rsidRDefault="00000000">
      <w:pPr>
        <w:spacing w:after="100"/>
      </w:pPr>
      <w:r>
        <w:rPr>
          <w:b/>
          <w:bCs/>
        </w:rPr>
        <w:t xml:space="preserve">Tools: </w:t>
      </w:r>
      <w:r>
        <w:t>Python (</w:t>
      </w:r>
      <w:proofErr w:type="spellStart"/>
      <w:r>
        <w:t>yfinance</w:t>
      </w:r>
      <w:proofErr w:type="spellEnd"/>
      <w:r>
        <w:t>, pandas) for data collection and risk metrics · SQLite for structured storage and SQL modeling · Power BI Desktop for visualization, connected via ODBC.</w:t>
      </w:r>
    </w:p>
    <w:p w14:paraId="28C0CFDF" w14:textId="70FB2AFA" w:rsidR="00B513D3" w:rsidRDefault="00000000">
      <w:pPr>
        <w:pStyle w:val="Heading1"/>
        <w:spacing w:before="360" w:after="160"/>
      </w:pPr>
      <w:r>
        <w:t xml:space="preserve">2. Day 1 </w:t>
      </w:r>
      <w:r w:rsidR="007B43E6">
        <w:t>-</w:t>
      </w:r>
      <w:r>
        <w:t xml:space="preserve"> Data Collection</w:t>
      </w:r>
    </w:p>
    <w:p w14:paraId="07F3705D" w14:textId="77777777" w:rsidR="00B513D3" w:rsidRDefault="00000000">
      <w:pPr>
        <w:spacing w:after="60"/>
      </w:pPr>
      <w:r>
        <w:rPr>
          <w:b/>
          <w:bCs/>
          <w:color w:val="1F3864"/>
        </w:rPr>
        <w:t xml:space="preserve">What we did: </w:t>
      </w:r>
      <w:r>
        <w:t xml:space="preserve">Wrote a Python script using the </w:t>
      </w:r>
      <w:proofErr w:type="spellStart"/>
      <w:r>
        <w:t>yfinance</w:t>
      </w:r>
      <w:proofErr w:type="spellEnd"/>
      <w:r>
        <w:t xml:space="preserve"> library to pull 3 years of daily OHLC (open/high/low/close) price data for all 11 sector ETFs, run in Google </w:t>
      </w:r>
      <w:proofErr w:type="spellStart"/>
      <w:r>
        <w:t>Colab</w:t>
      </w:r>
      <w:proofErr w:type="spellEnd"/>
      <w:r>
        <w:t xml:space="preserve">. Downloaded the resulting </w:t>
      </w:r>
      <w:proofErr w:type="spellStart"/>
      <w:r>
        <w:t>sector_data.db</w:t>
      </w:r>
      <w:proofErr w:type="spellEnd"/>
      <w:r>
        <w:t xml:space="preserve"> SQLite file and opened it in DB Browser for SQLite.</w:t>
      </w:r>
    </w:p>
    <w:p w14:paraId="212A44CD" w14:textId="77777777" w:rsidR="00B513D3" w:rsidRDefault="00000000">
      <w:pPr>
        <w:spacing w:after="200"/>
      </w:pPr>
      <w:r>
        <w:rPr>
          <w:b/>
          <w:bCs/>
          <w:color w:val="1F3864"/>
        </w:rPr>
        <w:t xml:space="preserve">Why we did it: </w:t>
      </w:r>
      <w:r>
        <w:rPr>
          <w:i/>
          <w:iCs/>
          <w:color w:val="595959"/>
        </w:rPr>
        <w:t>A repeatable, code-based pull replaces manual data gathering and ensures the same method can be rerun later for a refresh, rather than relying on one-off manual downloads.</w:t>
      </w:r>
    </w:p>
    <w:p w14:paraId="6D9E3BF8" w14:textId="77777777" w:rsidR="00B513D3" w:rsidRDefault="00000000">
      <w:pPr>
        <w:pStyle w:val="Heading2"/>
        <w:spacing w:before="260" w:after="120"/>
      </w:pPr>
      <w:r>
        <w:t xml:space="preserve">Key Decision: </w:t>
      </w:r>
      <w:proofErr w:type="spellStart"/>
      <w:r>
        <w:t>adj_close</w:t>
      </w:r>
      <w:proofErr w:type="spellEnd"/>
      <w:r>
        <w:t xml:space="preserve"> vs. close</w:t>
      </w:r>
    </w:p>
    <w:p w14:paraId="6A6F8E94" w14:textId="06754527" w:rsidR="00B513D3" w:rsidRDefault="00000000">
      <w:pPr>
        <w:spacing w:after="140"/>
      </w:pPr>
      <w:r>
        <w:t xml:space="preserve">The raw close price drops on a stock's ex-dividend date even though shareholders haven't </w:t>
      </w:r>
      <w:proofErr w:type="gramStart"/>
      <w:r>
        <w:t>actually lost</w:t>
      </w:r>
      <w:proofErr w:type="gramEnd"/>
      <w:r>
        <w:t xml:space="preserve"> value. The </w:t>
      </w:r>
      <w:proofErr w:type="spellStart"/>
      <w:r>
        <w:t>adj_close</w:t>
      </w:r>
      <w:proofErr w:type="spellEnd"/>
      <w:r>
        <w:t xml:space="preserve"> column </w:t>
      </w:r>
      <w:proofErr w:type="gramStart"/>
      <w:r>
        <w:t>corrects for</w:t>
      </w:r>
      <w:proofErr w:type="gramEnd"/>
      <w:r>
        <w:t xml:space="preserve"> dividends and stock splits, so it is used for every return calculation in this project. Using close instead would have silently understated returns around dividend dates.</w:t>
      </w:r>
    </w:p>
    <w:p w14:paraId="54BDBCC6" w14:textId="410A0B62" w:rsidR="00B513D3" w:rsidRDefault="00000000">
      <w:pPr>
        <w:pStyle w:val="Heading1"/>
        <w:spacing w:before="360" w:after="160"/>
      </w:pPr>
      <w:r>
        <w:t xml:space="preserve">3. Day 2 </w:t>
      </w:r>
      <w:r w:rsidR="005E0CF6">
        <w:t xml:space="preserve">- </w:t>
      </w:r>
      <w:r>
        <w:t>Data Modeling (SQL)</w:t>
      </w:r>
    </w:p>
    <w:p w14:paraId="0DFFDF2F" w14:textId="77777777" w:rsidR="00B513D3" w:rsidRDefault="00000000">
      <w:pPr>
        <w:pStyle w:val="Heading2"/>
        <w:spacing w:before="260" w:after="120"/>
      </w:pPr>
      <w:proofErr w:type="spellStart"/>
      <w:r>
        <w:t>dim_sector</w:t>
      </w:r>
      <w:proofErr w:type="spellEnd"/>
    </w:p>
    <w:p w14:paraId="2C21CD17" w14:textId="77777777" w:rsidR="00B513D3" w:rsidRDefault="00000000">
      <w:pPr>
        <w:spacing w:after="60"/>
      </w:pPr>
      <w:r>
        <w:rPr>
          <w:b/>
          <w:bCs/>
          <w:color w:val="1F3864"/>
        </w:rPr>
        <w:t xml:space="preserve">What we did: </w:t>
      </w:r>
      <w:r>
        <w:t>Built a dimension table with one row per ticker/sector using CREATE TABLE ... AS SELECT DISTINCT.</w:t>
      </w:r>
    </w:p>
    <w:p w14:paraId="27C5BBFB" w14:textId="3A90078F" w:rsidR="00B513D3" w:rsidRDefault="00000000">
      <w:pPr>
        <w:spacing w:after="200"/>
      </w:pPr>
      <w:r>
        <w:rPr>
          <w:b/>
          <w:bCs/>
          <w:color w:val="1F3864"/>
        </w:rPr>
        <w:t xml:space="preserve">Why we did it: </w:t>
      </w:r>
      <w:r>
        <w:rPr>
          <w:i/>
          <w:iCs/>
          <w:color w:val="595959"/>
        </w:rPr>
        <w:t xml:space="preserve">A clean, de-duplicated lookup table is standard dimensional-modeling practice </w:t>
      </w:r>
      <w:r w:rsidR="005E0CF6">
        <w:rPr>
          <w:i/>
          <w:iCs/>
          <w:color w:val="595959"/>
        </w:rPr>
        <w:t>-</w:t>
      </w:r>
      <w:r>
        <w:rPr>
          <w:i/>
          <w:iCs/>
          <w:color w:val="595959"/>
        </w:rPr>
        <w:t xml:space="preserve"> it keeps sector names/tickers consistent and reusable across every other table, rather than repeating and re-deriving them each time.</w:t>
      </w:r>
    </w:p>
    <w:p w14:paraId="67C950BE" w14:textId="77777777" w:rsidR="00B513D3" w:rsidRDefault="00000000">
      <w:pPr>
        <w:pStyle w:val="Heading2"/>
        <w:spacing w:before="260" w:after="120"/>
      </w:pPr>
      <w:proofErr w:type="spellStart"/>
      <w:r>
        <w:lastRenderedPageBreak/>
        <w:t>fact_daily_price</w:t>
      </w:r>
      <w:proofErr w:type="spellEnd"/>
    </w:p>
    <w:p w14:paraId="312B6A95" w14:textId="77777777" w:rsidR="00B513D3" w:rsidRDefault="00000000">
      <w:pPr>
        <w:spacing w:after="60"/>
      </w:pPr>
      <w:r>
        <w:rPr>
          <w:b/>
          <w:bCs/>
          <w:color w:val="1F3864"/>
        </w:rPr>
        <w:t xml:space="preserve">What we did: </w:t>
      </w:r>
      <w:r>
        <w:t xml:space="preserve">Built the core fact table by using a </w:t>
      </w:r>
      <w:proofErr w:type="gramStart"/>
      <w:r>
        <w:t>LAG(</w:t>
      </w:r>
      <w:proofErr w:type="gramEnd"/>
      <w:r>
        <w:t xml:space="preserve">) window function (PARTITION BY ticker, ORDER BY date) inside a CTE to pull each row's previous trading day's </w:t>
      </w:r>
      <w:proofErr w:type="spellStart"/>
      <w:r>
        <w:t>adj_close</w:t>
      </w:r>
      <w:proofErr w:type="spellEnd"/>
      <w:r>
        <w:t xml:space="preserve">, then calculated </w:t>
      </w:r>
      <w:proofErr w:type="spellStart"/>
      <w:r>
        <w:t>daily_return</w:t>
      </w:r>
      <w:proofErr w:type="spellEnd"/>
      <w:r>
        <w:t xml:space="preserve"> as (today − yesterday) / yesterday.</w:t>
      </w:r>
    </w:p>
    <w:p w14:paraId="69A49CA2" w14:textId="77777777" w:rsidR="00B513D3" w:rsidRDefault="00000000">
      <w:pPr>
        <w:spacing w:after="200"/>
      </w:pPr>
      <w:r>
        <w:rPr>
          <w:b/>
          <w:bCs/>
          <w:color w:val="1F3864"/>
        </w:rPr>
        <w:t xml:space="preserve">Why we did it: </w:t>
      </w:r>
      <w:r>
        <w:rPr>
          <w:i/>
          <w:iCs/>
          <w:color w:val="595959"/>
        </w:rPr>
        <w:t>Daily return is the foundational metric every other calculation in the project builds on (cumulative return, volatility, Sharpe ratio). A window function was required because the calculation needs each ticker's own prior-day value without collapsing rows the way a simple aggregate would.</w:t>
      </w:r>
    </w:p>
    <w:p w14:paraId="6B19F021" w14:textId="77777777" w:rsidR="00B513D3" w:rsidRDefault="00000000">
      <w:pPr>
        <w:spacing w:after="140"/>
      </w:pPr>
      <w:r>
        <w:rPr>
          <w:i/>
          <w:iCs/>
          <w:color w:val="595959"/>
        </w:rPr>
        <w:t>Note: SQL does not allow one calculated column to reference another column's alias within the same SELECT list. This was resolved by computing the lagged value inside a CTE first, then referencing it by name in an outer SELECT.</w:t>
      </w:r>
    </w:p>
    <w:p w14:paraId="5D1E16CD" w14:textId="7A5F86A7" w:rsidR="00B513D3" w:rsidRDefault="00000000">
      <w:pPr>
        <w:pStyle w:val="Heading1"/>
        <w:spacing w:before="360" w:after="160"/>
      </w:pPr>
      <w:r>
        <w:t xml:space="preserve">4. Day 3 </w:t>
      </w:r>
      <w:r w:rsidR="00BF7826">
        <w:t>-</w:t>
      </w:r>
      <w:r>
        <w:t xml:space="preserve"> Return Metrics &amp; Table/View Design</w:t>
      </w:r>
    </w:p>
    <w:p w14:paraId="665D9734" w14:textId="77777777" w:rsidR="00B513D3" w:rsidRDefault="00000000">
      <w:pPr>
        <w:pStyle w:val="Heading2"/>
        <w:spacing w:before="260" w:after="120"/>
      </w:pPr>
      <w:r>
        <w:t>Cumulative Return</w:t>
      </w:r>
    </w:p>
    <w:p w14:paraId="2F7E92D6" w14:textId="77777777" w:rsidR="00B513D3" w:rsidRDefault="00000000">
      <w:pPr>
        <w:spacing w:after="60"/>
      </w:pPr>
      <w:r>
        <w:rPr>
          <w:b/>
          <w:bCs/>
          <w:color w:val="1F3864"/>
        </w:rPr>
        <w:t xml:space="preserve">What we did: </w:t>
      </w:r>
      <w:r>
        <w:t xml:space="preserve">Calculated a running “growth of $1” cumulative return using </w:t>
      </w:r>
      <w:proofErr w:type="gramStart"/>
      <w:r>
        <w:t>EXP(SUM(LN(</w:t>
      </w:r>
      <w:proofErr w:type="gramEnd"/>
      <w:r>
        <w:t xml:space="preserve">1 + </w:t>
      </w:r>
      <w:proofErr w:type="spellStart"/>
      <w:r>
        <w:t>daily_return</w:t>
      </w:r>
      <w:proofErr w:type="spellEnd"/>
      <w:r>
        <w:t xml:space="preserve">)) OVER (...)) − 1, with COALESCE to treat each ticker's first (NULL) </w:t>
      </w:r>
      <w:proofErr w:type="spellStart"/>
      <w:r>
        <w:t>daily_return</w:t>
      </w:r>
      <w:proofErr w:type="spellEnd"/>
      <w:r>
        <w:t xml:space="preserve"> as zero.</w:t>
      </w:r>
    </w:p>
    <w:p w14:paraId="25D3F9A1" w14:textId="69B6B689" w:rsidR="00B513D3" w:rsidRDefault="00000000">
      <w:pPr>
        <w:spacing w:after="200"/>
      </w:pPr>
      <w:r>
        <w:rPr>
          <w:b/>
          <w:bCs/>
          <w:color w:val="1F3864"/>
        </w:rPr>
        <w:t xml:space="preserve">Why we did it: </w:t>
      </w:r>
      <w:r>
        <w:rPr>
          <w:i/>
          <w:iCs/>
          <w:color w:val="595959"/>
        </w:rPr>
        <w:t xml:space="preserve">Returns compound rather than add </w:t>
      </w:r>
      <w:r w:rsidR="00C615A8">
        <w:rPr>
          <w:i/>
          <w:iCs/>
          <w:color w:val="595959"/>
        </w:rPr>
        <w:t>-</w:t>
      </w:r>
      <w:r>
        <w:rPr>
          <w:i/>
          <w:iCs/>
          <w:color w:val="595959"/>
        </w:rPr>
        <w:t xml:space="preserve"> window functions can calculate a running SUM but not a running PRODUCT directly. Converting to log-space (LN), summing, then converting back (EXP) is the standard SQL workaround for compounding a series without a native running-product function.</w:t>
      </w:r>
    </w:p>
    <w:p w14:paraId="501C5FD1" w14:textId="77777777" w:rsidR="00B513D3" w:rsidRDefault="00000000">
      <w:pPr>
        <w:pStyle w:val="Heading2"/>
        <w:spacing w:before="260" w:after="120"/>
      </w:pPr>
      <w:r>
        <w:t>Table vs. View Decision (Round 1)</w:t>
      </w:r>
    </w:p>
    <w:p w14:paraId="6B94B5F5" w14:textId="77777777" w:rsidR="00B513D3" w:rsidRDefault="00000000">
      <w:pPr>
        <w:spacing w:after="140"/>
      </w:pPr>
      <w:r>
        <w:t>The cumulative return object was initially built as a VIEW (</w:t>
      </w:r>
      <w:proofErr w:type="spellStart"/>
      <w:r>
        <w:t>vw_cumulative_return</w:t>
      </w:r>
      <w:proofErr w:type="spellEnd"/>
      <w:r>
        <w:t>) rather than a TABLE, based on the following reasoning:</w:t>
      </w:r>
    </w:p>
    <w:p w14:paraId="43155A76" w14:textId="5D84D97E" w:rsidR="00B513D3" w:rsidRDefault="00000000">
      <w:pPr>
        <w:pStyle w:val="ListParagraph"/>
        <w:numPr>
          <w:ilvl w:val="0"/>
          <w:numId w:val="1"/>
        </w:numPr>
        <w:spacing w:after="60"/>
      </w:pPr>
      <w:proofErr w:type="spellStart"/>
      <w:r>
        <w:t>dim_sector</w:t>
      </w:r>
      <w:proofErr w:type="spellEnd"/>
      <w:r>
        <w:t xml:space="preserve"> and </w:t>
      </w:r>
      <w:proofErr w:type="spellStart"/>
      <w:r>
        <w:t>fact_daily_price</w:t>
      </w:r>
      <w:proofErr w:type="spellEnd"/>
      <w:r>
        <w:t xml:space="preserve"> were kept as TABLES </w:t>
      </w:r>
      <w:r w:rsidR="003A50B7">
        <w:t>-</w:t>
      </w:r>
      <w:r>
        <w:t xml:space="preserve"> static/expensive to recompute, low risk of going stale for a project without a live refresh schedule.</w:t>
      </w:r>
    </w:p>
    <w:p w14:paraId="253C2E6C" w14:textId="141EA6A4" w:rsidR="00B513D3" w:rsidRDefault="00000000">
      <w:pPr>
        <w:pStyle w:val="ListParagraph"/>
        <w:numPr>
          <w:ilvl w:val="0"/>
          <w:numId w:val="1"/>
        </w:numPr>
        <w:spacing w:after="60"/>
      </w:pPr>
      <w:r>
        <w:t xml:space="preserve">Cumulative return was kept as a VIEW </w:t>
      </w:r>
      <w:r w:rsidR="003A50B7">
        <w:t>-</w:t>
      </w:r>
      <w:r>
        <w:t xml:space="preserve"> cheap to compute live from the already-derived </w:t>
      </w:r>
      <w:proofErr w:type="spellStart"/>
      <w:r>
        <w:t>daily_return</w:t>
      </w:r>
      <w:proofErr w:type="spellEnd"/>
      <w:r>
        <w:t xml:space="preserve"> column, and most likely to be queried repeatedly from Power BI, where staying current automatically (without a manual rebuild step) was judged more valuable than the small performance cost.</w:t>
      </w:r>
    </w:p>
    <w:p w14:paraId="10CD98A3" w14:textId="77777777" w:rsidR="00B513D3" w:rsidRDefault="00000000">
      <w:pPr>
        <w:pStyle w:val="Heading2"/>
        <w:spacing w:before="260" w:after="120"/>
      </w:pPr>
      <w:r>
        <w:t>Trailing 1-Year Sector Ranking</w:t>
      </w:r>
    </w:p>
    <w:p w14:paraId="3A656FEB" w14:textId="77777777" w:rsidR="00B513D3" w:rsidRDefault="00000000">
      <w:pPr>
        <w:spacing w:after="60"/>
      </w:pPr>
      <w:r>
        <w:rPr>
          <w:b/>
          <w:bCs/>
          <w:color w:val="1F3864"/>
        </w:rPr>
        <w:t xml:space="preserve">What we did: </w:t>
      </w:r>
      <w:r>
        <w:t>Used a self-join (</w:t>
      </w:r>
      <w:proofErr w:type="spellStart"/>
      <w:r>
        <w:t>fact_daily_price</w:t>
      </w:r>
      <w:proofErr w:type="spellEnd"/>
      <w:r>
        <w:t xml:space="preserve"> joined to itself) matched on ticker, with two scalar subqueries to identify the most recent trading date and the earliest trading date within the last year, to calculate each sector's trailing 1-year % return.</w:t>
      </w:r>
    </w:p>
    <w:p w14:paraId="608367E1" w14:textId="3D35BFDF" w:rsidR="00B513D3" w:rsidRDefault="00000000">
      <w:pPr>
        <w:spacing w:after="200"/>
      </w:pPr>
      <w:r>
        <w:rPr>
          <w:b/>
          <w:bCs/>
          <w:color w:val="1F3864"/>
        </w:rPr>
        <w:t xml:space="preserve">Why we did it: </w:t>
      </w:r>
      <w:r>
        <w:rPr>
          <w:i/>
          <w:iCs/>
          <w:color w:val="595959"/>
        </w:rPr>
        <w:t xml:space="preserve">The business question </w:t>
      </w:r>
      <w:r w:rsidR="000A6184">
        <w:rPr>
          <w:i/>
          <w:iCs/>
          <w:color w:val="595959"/>
        </w:rPr>
        <w:t>-</w:t>
      </w:r>
      <w:r>
        <w:rPr>
          <w:i/>
          <w:iCs/>
          <w:color w:val="595959"/>
        </w:rPr>
        <w:t xml:space="preserve"> “which sector performed best over the last year” </w:t>
      </w:r>
      <w:r w:rsidR="000A6184">
        <w:rPr>
          <w:i/>
          <w:iCs/>
          <w:color w:val="595959"/>
        </w:rPr>
        <w:t xml:space="preserve">- </w:t>
      </w:r>
      <w:r>
        <w:rPr>
          <w:i/>
          <w:iCs/>
          <w:color w:val="595959"/>
        </w:rPr>
        <w:t xml:space="preserve">needs exactly two price points per sector (now vs. ~1 year ago), not the full daily time series. A self-join safely compares </w:t>
      </w:r>
      <w:r w:rsidR="000A6184">
        <w:rPr>
          <w:i/>
          <w:iCs/>
          <w:color w:val="595959"/>
        </w:rPr>
        <w:t>rows from the same table without mixing data from different sectors</w:t>
      </w:r>
      <w:r>
        <w:rPr>
          <w:i/>
          <w:iCs/>
          <w:color w:val="595959"/>
        </w:rPr>
        <w:t>.</w:t>
      </w:r>
    </w:p>
    <w:p w14:paraId="2C3516F4" w14:textId="77777777" w:rsidR="00B513D3" w:rsidRDefault="00000000">
      <w:pPr>
        <w:pStyle w:val="Heading2"/>
        <w:spacing w:before="260" w:after="120"/>
      </w:pPr>
      <w:r>
        <w:t>Biggest Single-Day Movers</w:t>
      </w:r>
    </w:p>
    <w:p w14:paraId="0BBE5DEB" w14:textId="77777777" w:rsidR="00B513D3" w:rsidRDefault="00000000">
      <w:pPr>
        <w:spacing w:after="60"/>
      </w:pPr>
      <w:r>
        <w:rPr>
          <w:b/>
          <w:bCs/>
          <w:color w:val="1F3864"/>
        </w:rPr>
        <w:t xml:space="preserve">What we did: </w:t>
      </w:r>
      <w:r>
        <w:t xml:space="preserve">Ranked all rows by ORDER BY </w:t>
      </w:r>
      <w:proofErr w:type="gramStart"/>
      <w:r>
        <w:t>ABS(</w:t>
      </w:r>
      <w:proofErr w:type="spellStart"/>
      <w:proofErr w:type="gramEnd"/>
      <w:r>
        <w:t>daily_return</w:t>
      </w:r>
      <w:proofErr w:type="spellEnd"/>
      <w:r>
        <w:t xml:space="preserve">) DESC to surface the 20 most extreme </w:t>
      </w:r>
      <w:proofErr w:type="gramStart"/>
      <w:r>
        <w:t>single-day</w:t>
      </w:r>
      <w:proofErr w:type="gramEnd"/>
      <w:r>
        <w:t xml:space="preserve"> moves (up or down) across all sectors.</w:t>
      </w:r>
    </w:p>
    <w:p w14:paraId="2125BA98" w14:textId="77777777" w:rsidR="00B513D3" w:rsidRDefault="00000000">
      <w:pPr>
        <w:spacing w:after="200"/>
      </w:pPr>
      <w:r>
        <w:rPr>
          <w:b/>
          <w:bCs/>
          <w:color w:val="1F3864"/>
        </w:rPr>
        <w:t xml:space="preserve">Why we did it: </w:t>
      </w:r>
      <w:proofErr w:type="gramStart"/>
      <w:r>
        <w:rPr>
          <w:i/>
          <w:iCs/>
          <w:color w:val="595959"/>
        </w:rPr>
        <w:t>ABS(</w:t>
      </w:r>
      <w:proofErr w:type="gramEnd"/>
      <w:r>
        <w:rPr>
          <w:i/>
          <w:iCs/>
          <w:color w:val="595959"/>
        </w:rPr>
        <w:t>) ensures both large gains and large drops rank equally as “significant,” rather than only surfacing gains. This evidence supports the Day 6 narrative write-up, turning a chart into a story a stakeholder can act on (e.g., explaining why a sector's return spiked or dropped on a specific date).</w:t>
      </w:r>
    </w:p>
    <w:p w14:paraId="3F7411DD" w14:textId="77777777" w:rsidR="00B513D3" w:rsidRDefault="00000000">
      <w:r>
        <w:br w:type="page"/>
      </w:r>
    </w:p>
    <w:p w14:paraId="62DE3169" w14:textId="77777777" w:rsidR="00B513D3" w:rsidRDefault="00000000">
      <w:pPr>
        <w:pStyle w:val="Heading1"/>
        <w:spacing w:before="360" w:after="160"/>
      </w:pPr>
      <w:r>
        <w:lastRenderedPageBreak/>
        <w:t>5. Risk Metrics (Python)</w:t>
      </w:r>
    </w:p>
    <w:p w14:paraId="011A7917" w14:textId="77777777" w:rsidR="00B513D3" w:rsidRDefault="00000000">
      <w:pPr>
        <w:pStyle w:val="Heading2"/>
        <w:spacing w:before="260" w:after="120"/>
      </w:pPr>
      <w:r>
        <w:t>Risk-Free Rate</w:t>
      </w:r>
    </w:p>
    <w:p w14:paraId="6FA42911" w14:textId="77777777" w:rsidR="00B513D3" w:rsidRDefault="00000000">
      <w:pPr>
        <w:spacing w:after="60"/>
      </w:pPr>
      <w:r>
        <w:rPr>
          <w:b/>
          <w:bCs/>
          <w:color w:val="1F3864"/>
        </w:rPr>
        <w:t xml:space="preserve">What we did: </w:t>
      </w:r>
      <w:r>
        <w:t xml:space="preserve">Pulled the 10-Year U.S. Treasury yield from FRED (Federal Reserve Economic Data) as a free CSV, cleaned it, and loaded it into </w:t>
      </w:r>
      <w:proofErr w:type="spellStart"/>
      <w:r>
        <w:t>risk_free_rate</w:t>
      </w:r>
      <w:proofErr w:type="spellEnd"/>
      <w:r>
        <w:t>.</w:t>
      </w:r>
    </w:p>
    <w:p w14:paraId="07C8567C" w14:textId="2DA43E22" w:rsidR="00B513D3" w:rsidRDefault="00000000">
      <w:pPr>
        <w:spacing w:after="200"/>
      </w:pPr>
      <w:r>
        <w:rPr>
          <w:b/>
          <w:bCs/>
          <w:color w:val="1F3864"/>
        </w:rPr>
        <w:t xml:space="preserve">Why we did it: </w:t>
      </w:r>
      <w:r>
        <w:rPr>
          <w:i/>
          <w:iCs/>
          <w:color w:val="595959"/>
        </w:rPr>
        <w:t xml:space="preserve">The Sharpe ratio measures excess return </w:t>
      </w:r>
      <w:r w:rsidR="000A6184">
        <w:rPr>
          <w:i/>
          <w:iCs/>
          <w:color w:val="595959"/>
        </w:rPr>
        <w:t>-</w:t>
      </w:r>
      <w:r>
        <w:rPr>
          <w:i/>
          <w:iCs/>
          <w:color w:val="595959"/>
        </w:rPr>
        <w:t xml:space="preserve"> return above what a virtually risk-free investment would provide. Without this baseline, a sector would be credited for gains that simply reflect a generally rising market, not genuine risk-adjusted performance.</w:t>
      </w:r>
    </w:p>
    <w:p w14:paraId="2BAA81E1" w14:textId="77777777" w:rsidR="00B513D3" w:rsidRDefault="00000000">
      <w:pPr>
        <w:pStyle w:val="Heading2"/>
        <w:spacing w:before="260" w:after="120"/>
      </w:pPr>
      <w:r>
        <w:t>Rolling 30-Day Volatility</w:t>
      </w:r>
    </w:p>
    <w:p w14:paraId="47455C5F" w14:textId="77777777" w:rsidR="00B513D3" w:rsidRDefault="00000000">
      <w:pPr>
        <w:spacing w:after="60"/>
      </w:pPr>
      <w:r>
        <w:rPr>
          <w:b/>
          <w:bCs/>
          <w:color w:val="1F3864"/>
        </w:rPr>
        <w:t xml:space="preserve">What we did: </w:t>
      </w:r>
      <w:r>
        <w:t xml:space="preserve">Calculated a 30-day rolling standard deviation of </w:t>
      </w:r>
      <w:proofErr w:type="spellStart"/>
      <w:r>
        <w:t>daily_return</w:t>
      </w:r>
      <w:proofErr w:type="spellEnd"/>
      <w:r>
        <w:t xml:space="preserve"> per ticker in pandas, then annualized it by multiplying by √252 (approximate trading days/year), stored in </w:t>
      </w:r>
      <w:proofErr w:type="spellStart"/>
      <w:r>
        <w:t>sector_volatility</w:t>
      </w:r>
      <w:proofErr w:type="spellEnd"/>
      <w:r>
        <w:t>.</w:t>
      </w:r>
    </w:p>
    <w:p w14:paraId="4AF574DD" w14:textId="3871B05C" w:rsidR="00B513D3" w:rsidRDefault="00000000">
      <w:pPr>
        <w:spacing w:after="200"/>
      </w:pPr>
      <w:r>
        <w:rPr>
          <w:b/>
          <w:bCs/>
          <w:color w:val="1F3864"/>
        </w:rPr>
        <w:t xml:space="preserve">Why we did it: </w:t>
      </w:r>
      <w:r>
        <w:rPr>
          <w:i/>
          <w:iCs/>
          <w:color w:val="595959"/>
        </w:rPr>
        <w:t xml:space="preserve">SQLite has no built-in </w:t>
      </w:r>
      <w:proofErr w:type="gramStart"/>
      <w:r>
        <w:rPr>
          <w:i/>
          <w:iCs/>
          <w:color w:val="595959"/>
        </w:rPr>
        <w:t>STDDEV(</w:t>
      </w:r>
      <w:proofErr w:type="gramEnd"/>
      <w:r>
        <w:rPr>
          <w:i/>
          <w:iCs/>
          <w:color w:val="595959"/>
        </w:rPr>
        <w:t xml:space="preserve">) function, so this metric was computed in Python rather than SQL. Annualizing puts daily volatility on the same scale as annual return figures </w:t>
      </w:r>
      <w:r w:rsidR="00C615A8">
        <w:rPr>
          <w:i/>
          <w:iCs/>
          <w:color w:val="595959"/>
        </w:rPr>
        <w:t>-</w:t>
      </w:r>
      <w:r>
        <w:rPr>
          <w:i/>
          <w:iCs/>
          <w:color w:val="595959"/>
        </w:rPr>
        <w:t xml:space="preserve"> the standard finance-industry convention </w:t>
      </w:r>
      <w:r w:rsidR="00C615A8">
        <w:rPr>
          <w:i/>
          <w:iCs/>
          <w:color w:val="595959"/>
        </w:rPr>
        <w:t>-</w:t>
      </w:r>
      <w:r>
        <w:rPr>
          <w:i/>
          <w:iCs/>
          <w:color w:val="595959"/>
        </w:rPr>
        <w:t xml:space="preserve"> making it usable directly in the Sharpe ratio formula.</w:t>
      </w:r>
    </w:p>
    <w:p w14:paraId="45911FA5" w14:textId="77777777" w:rsidR="00B513D3" w:rsidRDefault="00000000">
      <w:pPr>
        <w:pStyle w:val="Heading2"/>
        <w:spacing w:before="260" w:after="120"/>
      </w:pPr>
      <w:r>
        <w:t>Sharpe Ratio</w:t>
      </w:r>
    </w:p>
    <w:p w14:paraId="6B77E337" w14:textId="77777777" w:rsidR="00B513D3" w:rsidRDefault="00000000">
      <w:pPr>
        <w:spacing w:after="60"/>
      </w:pPr>
      <w:r>
        <w:rPr>
          <w:b/>
          <w:bCs/>
          <w:color w:val="1F3864"/>
        </w:rPr>
        <w:t xml:space="preserve">What we did: </w:t>
      </w:r>
      <w:r>
        <w:t xml:space="preserve">Combined annualized rolling return, the rolling 30-day average risk-free rate, and rolling annualized volatility into: (annualized return − risk-free rate) / annualized volatility, stored in </w:t>
      </w:r>
      <w:proofErr w:type="spellStart"/>
      <w:r>
        <w:t>sector_sharpe</w:t>
      </w:r>
      <w:proofErr w:type="spellEnd"/>
      <w:r>
        <w:t>.</w:t>
      </w:r>
    </w:p>
    <w:p w14:paraId="7154B2DB" w14:textId="746EEDF2" w:rsidR="00B513D3" w:rsidRDefault="00000000">
      <w:pPr>
        <w:spacing w:after="200"/>
      </w:pPr>
      <w:r>
        <w:rPr>
          <w:b/>
          <w:bCs/>
          <w:color w:val="1F3864"/>
        </w:rPr>
        <w:t xml:space="preserve">Why we did it: </w:t>
      </w:r>
      <w:r>
        <w:rPr>
          <w:i/>
          <w:iCs/>
          <w:color w:val="595959"/>
        </w:rPr>
        <w:t xml:space="preserve">Raw return alone can be misleading </w:t>
      </w:r>
      <w:r w:rsidR="00C615A8">
        <w:rPr>
          <w:i/>
          <w:iCs/>
          <w:color w:val="595959"/>
        </w:rPr>
        <w:t>-</w:t>
      </w:r>
      <w:r>
        <w:rPr>
          <w:i/>
          <w:iCs/>
          <w:color w:val="595959"/>
        </w:rPr>
        <w:t xml:space="preserve"> a sector could show a high return simply by taking on outsized risk. Sharpe ratio lets sectors be compared on a level, risk-adjusted basis, which is the core analytical question the Investment Committee needed </w:t>
      </w:r>
      <w:proofErr w:type="gramStart"/>
      <w:r>
        <w:rPr>
          <w:i/>
          <w:iCs/>
          <w:color w:val="595959"/>
        </w:rPr>
        <w:t>answered</w:t>
      </w:r>
      <w:proofErr w:type="gramEnd"/>
      <w:r>
        <w:rPr>
          <w:i/>
          <w:iCs/>
          <w:color w:val="595959"/>
        </w:rPr>
        <w:t>.</w:t>
      </w:r>
    </w:p>
    <w:p w14:paraId="595E81C1" w14:textId="77777777" w:rsidR="00B513D3" w:rsidRDefault="00000000">
      <w:pPr>
        <w:pStyle w:val="Heading2"/>
        <w:spacing w:before="260" w:after="120"/>
      </w:pPr>
      <w:r>
        <w:t>Correlation Matrix</w:t>
      </w:r>
    </w:p>
    <w:p w14:paraId="19A4AF3E" w14:textId="77777777" w:rsidR="00B513D3" w:rsidRDefault="00000000">
      <w:pPr>
        <w:spacing w:after="60"/>
      </w:pPr>
      <w:r>
        <w:rPr>
          <w:b/>
          <w:bCs/>
          <w:color w:val="1F3864"/>
        </w:rPr>
        <w:t xml:space="preserve">What we did: </w:t>
      </w:r>
      <w:r>
        <w:t xml:space="preserve">Pivoted </w:t>
      </w:r>
      <w:proofErr w:type="spellStart"/>
      <w:r>
        <w:t>daily_return</w:t>
      </w:r>
      <w:proofErr w:type="spellEnd"/>
      <w:r>
        <w:t xml:space="preserve"> into a wide (one column per ticker) shape and used </w:t>
      </w:r>
      <w:proofErr w:type="spellStart"/>
      <w:proofErr w:type="gramStart"/>
      <w:r>
        <w:t>pandas.corr</w:t>
      </w:r>
      <w:proofErr w:type="spellEnd"/>
      <w:proofErr w:type="gramEnd"/>
      <w:r>
        <w:t xml:space="preserve">() to compute a full pairwise correlation matrix across all 11 sectors, then reshaped to long format and stored as </w:t>
      </w:r>
      <w:proofErr w:type="spellStart"/>
      <w:r>
        <w:t>sector_correlation</w:t>
      </w:r>
      <w:proofErr w:type="spellEnd"/>
      <w:r>
        <w:t xml:space="preserve"> (121 rows).</w:t>
      </w:r>
    </w:p>
    <w:p w14:paraId="5DE3A71A" w14:textId="6D263067" w:rsidR="00B513D3" w:rsidRDefault="00000000">
      <w:pPr>
        <w:spacing w:after="200"/>
      </w:pPr>
      <w:r>
        <w:rPr>
          <w:b/>
          <w:bCs/>
          <w:color w:val="1F3864"/>
        </w:rPr>
        <w:t xml:space="preserve">Why we did it: </w:t>
      </w:r>
      <w:r>
        <w:rPr>
          <w:i/>
          <w:iCs/>
          <w:color w:val="595959"/>
        </w:rPr>
        <w:t xml:space="preserve">A diversified-looking portfolio can still carry concentrated risk if its “different” sectors </w:t>
      </w:r>
      <w:proofErr w:type="gramStart"/>
      <w:r>
        <w:rPr>
          <w:i/>
          <w:iCs/>
          <w:color w:val="595959"/>
        </w:rPr>
        <w:t>actually move</w:t>
      </w:r>
      <w:proofErr w:type="gramEnd"/>
      <w:r>
        <w:rPr>
          <w:i/>
          <w:iCs/>
          <w:color w:val="595959"/>
        </w:rPr>
        <w:t xml:space="preserve"> together. This matrix lets the committee see hidden correlation </w:t>
      </w:r>
      <w:proofErr w:type="gramStart"/>
      <w:r>
        <w:rPr>
          <w:i/>
          <w:iCs/>
          <w:color w:val="595959"/>
        </w:rPr>
        <w:t>at a glance</w:t>
      </w:r>
      <w:proofErr w:type="gramEnd"/>
      <w:r>
        <w:rPr>
          <w:i/>
          <w:iCs/>
          <w:color w:val="595959"/>
        </w:rPr>
        <w:t xml:space="preserve"> </w:t>
      </w:r>
      <w:r w:rsidR="00C615A8">
        <w:rPr>
          <w:i/>
          <w:iCs/>
          <w:color w:val="595959"/>
        </w:rPr>
        <w:t>-</w:t>
      </w:r>
      <w:r>
        <w:rPr>
          <w:i/>
          <w:iCs/>
          <w:color w:val="595959"/>
        </w:rPr>
        <w:t xml:space="preserve"> a calculation that would require an unwieldy multi-way SQL self-</w:t>
      </w:r>
      <w:proofErr w:type="gramStart"/>
      <w:r>
        <w:rPr>
          <w:i/>
          <w:iCs/>
          <w:color w:val="595959"/>
        </w:rPr>
        <w:t>join, but</w:t>
      </w:r>
      <w:proofErr w:type="gramEnd"/>
      <w:r>
        <w:rPr>
          <w:i/>
          <w:iCs/>
          <w:color w:val="595959"/>
        </w:rPr>
        <w:t xml:space="preserve"> is a single line in pandas.</w:t>
      </w:r>
    </w:p>
    <w:p w14:paraId="018E7886" w14:textId="77777777" w:rsidR="00B513D3" w:rsidRDefault="00000000">
      <w:pPr>
        <w:pStyle w:val="Heading1"/>
        <w:spacing w:before="360" w:after="160"/>
      </w:pPr>
      <w:r>
        <w:t>6. Data Validation</w:t>
      </w:r>
    </w:p>
    <w:p w14:paraId="51B26B9E" w14:textId="61CEC38A" w:rsidR="00B513D3" w:rsidRDefault="00000000">
      <w:pPr>
        <w:spacing w:after="60"/>
      </w:pPr>
      <w:r>
        <w:rPr>
          <w:b/>
          <w:bCs/>
          <w:color w:val="1F3864"/>
        </w:rPr>
        <w:t xml:space="preserve">What we did: </w:t>
      </w:r>
      <w:r>
        <w:t xml:space="preserve">Ran a structured validation checklist across all 8 tables/views </w:t>
      </w:r>
      <w:r w:rsidR="00C615A8">
        <w:t>-</w:t>
      </w:r>
      <w:r>
        <w:t xml:space="preserve"> row counts, null checks, range sanity checks (e.g., daily returns within ±15%, Sharpe ratios roughly between −1 and 2, correlation values bounded between −1 and 1).</w:t>
      </w:r>
    </w:p>
    <w:p w14:paraId="44D77C6B" w14:textId="5FA9BD44" w:rsidR="00B513D3" w:rsidRDefault="00000000">
      <w:pPr>
        <w:spacing w:after="200"/>
      </w:pPr>
      <w:r>
        <w:rPr>
          <w:b/>
          <w:bCs/>
          <w:color w:val="1F3864"/>
        </w:rPr>
        <w:t xml:space="preserve">Why we did it: </w:t>
      </w:r>
      <w:r>
        <w:rPr>
          <w:i/>
          <w:iCs/>
          <w:color w:val="595959"/>
        </w:rPr>
        <w:t xml:space="preserve">Validating the full data layer before building dashboard visuals prevents debugging a visual-layer problem that is </w:t>
      </w:r>
      <w:proofErr w:type="gramStart"/>
      <w:r>
        <w:rPr>
          <w:i/>
          <w:iCs/>
          <w:color w:val="595959"/>
        </w:rPr>
        <w:t>actually a</w:t>
      </w:r>
      <w:proofErr w:type="gramEnd"/>
      <w:r>
        <w:rPr>
          <w:i/>
          <w:iCs/>
          <w:color w:val="595959"/>
        </w:rPr>
        <w:t xml:space="preserve"> silent upstream data bug </w:t>
      </w:r>
      <w:r w:rsidR="00C615A8">
        <w:rPr>
          <w:i/>
          <w:iCs/>
          <w:color w:val="595959"/>
        </w:rPr>
        <w:t>-</w:t>
      </w:r>
      <w:r>
        <w:rPr>
          <w:i/>
          <w:iCs/>
          <w:color w:val="595959"/>
        </w:rPr>
        <w:t xml:space="preserve"> a common and costly mistake in real BI work.</w:t>
      </w:r>
    </w:p>
    <w:p w14:paraId="19CCE905" w14:textId="4D96EF7F" w:rsidR="00B513D3" w:rsidRDefault="00000000">
      <w:pPr>
        <w:spacing w:after="140"/>
      </w:pPr>
      <w:r>
        <w:rPr>
          <w:i/>
          <w:iCs/>
          <w:color w:val="595959"/>
        </w:rPr>
        <w:t xml:space="preserve">Notable finding: the rolling volatility null count was 30 per ticker, not the initially expected 29. This is because the 30-day rolling window operates on </w:t>
      </w:r>
      <w:proofErr w:type="spellStart"/>
      <w:r>
        <w:rPr>
          <w:i/>
          <w:iCs/>
          <w:color w:val="595959"/>
        </w:rPr>
        <w:t>daily_return</w:t>
      </w:r>
      <w:proofErr w:type="spellEnd"/>
      <w:r>
        <w:rPr>
          <w:i/>
          <w:iCs/>
          <w:color w:val="595959"/>
        </w:rPr>
        <w:t xml:space="preserve">, which already carries one NULL per ticker (from the </w:t>
      </w:r>
      <w:proofErr w:type="gramStart"/>
      <w:r>
        <w:rPr>
          <w:i/>
          <w:iCs/>
          <w:color w:val="595959"/>
        </w:rPr>
        <w:t>LAG(</w:t>
      </w:r>
      <w:proofErr w:type="gramEnd"/>
      <w:r>
        <w:rPr>
          <w:i/>
          <w:iCs/>
          <w:color w:val="595959"/>
        </w:rPr>
        <w:t xml:space="preserve">) calculation) </w:t>
      </w:r>
      <w:r w:rsidR="00C615A8">
        <w:rPr>
          <w:i/>
          <w:iCs/>
          <w:color w:val="595959"/>
        </w:rPr>
        <w:t>-</w:t>
      </w:r>
      <w:r>
        <w:rPr>
          <w:i/>
          <w:iCs/>
          <w:color w:val="595959"/>
        </w:rPr>
        <w:t xml:space="preserve"> that NULL doesn't count toward the required 30 non-null observations, pushing the first valid calculation one row later than a naive count would suggest.</w:t>
      </w:r>
    </w:p>
    <w:p w14:paraId="6514179E" w14:textId="77777777" w:rsidR="00B513D3" w:rsidRDefault="00000000">
      <w:pPr>
        <w:pStyle w:val="Heading1"/>
        <w:spacing w:before="360" w:after="160"/>
      </w:pPr>
      <w:r>
        <w:t>7. Power BI Connection Setup</w:t>
      </w:r>
    </w:p>
    <w:p w14:paraId="4EDAE815" w14:textId="77777777" w:rsidR="00B513D3" w:rsidRDefault="00000000">
      <w:pPr>
        <w:spacing w:after="60"/>
      </w:pPr>
      <w:r>
        <w:rPr>
          <w:b/>
          <w:bCs/>
          <w:color w:val="1F3864"/>
        </w:rPr>
        <w:t xml:space="preserve">What we did: </w:t>
      </w:r>
      <w:r>
        <w:t xml:space="preserve">Installed the SQLite ODBC driver, created a System DSN pointing to </w:t>
      </w:r>
      <w:proofErr w:type="spellStart"/>
      <w:r>
        <w:t>sector_data.db</w:t>
      </w:r>
      <w:proofErr w:type="spellEnd"/>
      <w:r>
        <w:t>, and connected Power BI via Get Data → ODBC.</w:t>
      </w:r>
    </w:p>
    <w:p w14:paraId="3F0645BF" w14:textId="77777777" w:rsidR="00B513D3" w:rsidRDefault="00000000">
      <w:pPr>
        <w:spacing w:after="200"/>
      </w:pPr>
      <w:r>
        <w:rPr>
          <w:b/>
          <w:bCs/>
          <w:color w:val="1F3864"/>
        </w:rPr>
        <w:lastRenderedPageBreak/>
        <w:t xml:space="preserve">Why we did it: </w:t>
      </w:r>
      <w:r>
        <w:rPr>
          <w:i/>
          <w:iCs/>
          <w:color w:val="595959"/>
        </w:rPr>
        <w:t xml:space="preserve">Power BI has no native SQLite connector, so an ODBC bridge is required to read the database directly rather than </w:t>
      </w:r>
      <w:proofErr w:type="gramStart"/>
      <w:r>
        <w:rPr>
          <w:i/>
          <w:iCs/>
          <w:color w:val="595959"/>
        </w:rPr>
        <w:t>exporting</w:t>
      </w:r>
      <w:proofErr w:type="gramEnd"/>
      <w:r>
        <w:rPr>
          <w:i/>
          <w:iCs/>
          <w:color w:val="595959"/>
        </w:rPr>
        <w:t xml:space="preserve"> to an intermediate format.</w:t>
      </w:r>
    </w:p>
    <w:p w14:paraId="6EAE7B3D" w14:textId="77777777" w:rsidR="00B513D3" w:rsidRDefault="00000000">
      <w:pPr>
        <w:pStyle w:val="Heading2"/>
        <w:spacing w:before="260" w:after="120"/>
      </w:pPr>
      <w:r>
        <w:t>Issue Encountered: View Failed to Load via ODBC</w:t>
      </w:r>
    </w:p>
    <w:p w14:paraId="36BABE9C" w14:textId="77777777" w:rsidR="00B513D3" w:rsidRDefault="00000000">
      <w:pPr>
        <w:spacing w:after="140"/>
      </w:pPr>
      <w:proofErr w:type="spellStart"/>
      <w:r>
        <w:t>vw_cumulative_return</w:t>
      </w:r>
      <w:proofErr w:type="spellEnd"/>
      <w:r>
        <w:t xml:space="preserve"> failed with a “no such function: LN” error when loaded through Power BI, despite running correctly in DB Browser.</w:t>
      </w:r>
    </w:p>
    <w:p w14:paraId="352F2C6E" w14:textId="5BAEB1AA" w:rsidR="00B513D3" w:rsidRDefault="00000000">
      <w:pPr>
        <w:spacing w:after="140"/>
      </w:pPr>
      <w:r>
        <w:t xml:space="preserve">Root cause: the SQLite ODBC driver bundles its own minimal SQLite engine, separate from DB Browser's build, which does not include the math-functions extension (LN, EXP, etc.). A view recomputes its query live on every read </w:t>
      </w:r>
      <w:r w:rsidR="00C615A8">
        <w:t>-</w:t>
      </w:r>
      <w:r>
        <w:t xml:space="preserve"> so the missing function surfaced only when Power BI (via ODBC) tried to read it, not when the data was originally built.</w:t>
      </w:r>
    </w:p>
    <w:p w14:paraId="6DC855EB" w14:textId="06B2A432" w:rsidR="00B513D3" w:rsidRDefault="00000000">
      <w:pPr>
        <w:spacing w:after="140"/>
      </w:pPr>
      <w:r>
        <w:t>Resolution: materialized the view into a table (</w:t>
      </w:r>
      <w:proofErr w:type="spellStart"/>
      <w:r>
        <w:t>fact_cumulative_return</w:t>
      </w:r>
      <w:proofErr w:type="spellEnd"/>
      <w:r>
        <w:t xml:space="preserve">), computing the LN/EXP logic once inside DB Browser </w:t>
      </w:r>
      <w:r w:rsidR="00C615A8">
        <w:t>-</w:t>
      </w:r>
      <w:r>
        <w:t xml:space="preserve"> where the function is supported </w:t>
      </w:r>
      <w:r w:rsidR="00C615A8">
        <w:t>-</w:t>
      </w:r>
      <w:r>
        <w:t xml:space="preserve"> so Power BI only ever reads pre-computed values through ODBC, with no live math-function calls required.</w:t>
      </w:r>
    </w:p>
    <w:p w14:paraId="39951008" w14:textId="736B26FD" w:rsidR="00B513D3" w:rsidRDefault="00000000">
      <w:pPr>
        <w:spacing w:after="140"/>
      </w:pPr>
      <w:r>
        <w:rPr>
          <w:i/>
          <w:iCs/>
          <w:color w:val="595959"/>
        </w:rPr>
        <w:t xml:space="preserve">This directly validated the earlier table-vs-view discussion: a view's “always current” advantage only holds if every tool consuming it supports the functions it depends on </w:t>
      </w:r>
      <w:r w:rsidR="00C615A8">
        <w:rPr>
          <w:i/>
          <w:iCs/>
          <w:color w:val="595959"/>
        </w:rPr>
        <w:t>-</w:t>
      </w:r>
      <w:r>
        <w:rPr>
          <w:i/>
          <w:iCs/>
          <w:color w:val="595959"/>
        </w:rPr>
        <w:t xml:space="preserve"> which is not guaranteed across different SQLite engines/drivers.</w:t>
      </w:r>
    </w:p>
    <w:p w14:paraId="2694DFE5" w14:textId="77777777" w:rsidR="00B513D3" w:rsidRDefault="00000000">
      <w:pPr>
        <w:pStyle w:val="Heading1"/>
        <w:spacing w:before="360" w:after="160"/>
      </w:pPr>
      <w:r>
        <w:t>8. Current Data Layer Inventory</w:t>
      </w:r>
    </w:p>
    <w:p w14:paraId="385E17A1" w14:textId="77777777" w:rsidR="00B513D3" w:rsidRDefault="00000000">
      <w:pPr>
        <w:spacing w:after="140"/>
      </w:pPr>
      <w:r>
        <w:t>All 8 objects below are validated and successfully loaded into Power BI as of this document.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800"/>
      </w:tblGrid>
      <w:tr w:rsidR="00B513D3" w14:paraId="50E18FE6" w14:textId="77777777">
        <w:tblPrEx>
          <w:tblCellMar>
            <w:top w:w="0" w:type="dxa"/>
            <w:bottom w:w="0" w:type="dxa"/>
          </w:tblCellMar>
        </w:tblPrEx>
        <w:trPr>
          <w:tblHeader/>
        </w:trPr>
        <w:tc>
          <w:tcPr>
            <w:tcW w:w="2200" w:type="dxa"/>
            <w:shd w:val="clear" w:color="auto" w:fill="1F3864"/>
            <w:vAlign w:val="center"/>
          </w:tcPr>
          <w:p w14:paraId="0CBD4140" w14:textId="77777777" w:rsidR="00B513D3" w:rsidRDefault="00000000">
            <w:r>
              <w:rPr>
                <w:b/>
                <w:bCs/>
                <w:color w:val="FFFFFF"/>
              </w:rPr>
              <w:t>Object</w:t>
            </w:r>
          </w:p>
        </w:tc>
        <w:tc>
          <w:tcPr>
            <w:tcW w:w="1400" w:type="dxa"/>
            <w:shd w:val="clear" w:color="auto" w:fill="1F3864"/>
            <w:vAlign w:val="center"/>
          </w:tcPr>
          <w:p w14:paraId="537CEBD9" w14:textId="77777777" w:rsidR="00B513D3" w:rsidRDefault="00000000">
            <w:r>
              <w:rPr>
                <w:b/>
                <w:bCs/>
                <w:color w:val="FFFFFF"/>
              </w:rPr>
              <w:t>Type</w:t>
            </w:r>
          </w:p>
        </w:tc>
        <w:tc>
          <w:tcPr>
            <w:tcW w:w="5800" w:type="dxa"/>
            <w:shd w:val="clear" w:color="auto" w:fill="1F3864"/>
            <w:vAlign w:val="center"/>
          </w:tcPr>
          <w:p w14:paraId="7A70B520" w14:textId="77777777" w:rsidR="00B513D3" w:rsidRDefault="00000000">
            <w:r>
              <w:rPr>
                <w:b/>
                <w:bCs/>
                <w:color w:val="FFFFFF"/>
              </w:rPr>
              <w:t>Purpose</w:t>
            </w:r>
          </w:p>
        </w:tc>
      </w:tr>
      <w:tr w:rsidR="00B513D3" w14:paraId="5C69D1A5" w14:textId="77777777">
        <w:tblPrEx>
          <w:tblCellMar>
            <w:top w:w="0" w:type="dxa"/>
            <w:bottom w:w="0" w:type="dxa"/>
          </w:tblCellMar>
        </w:tblPrEx>
        <w:tc>
          <w:tcPr>
            <w:tcW w:w="2200" w:type="dxa"/>
            <w:vAlign w:val="center"/>
          </w:tcPr>
          <w:p w14:paraId="785A4D62" w14:textId="77777777" w:rsidR="00B513D3" w:rsidRDefault="00000000">
            <w:proofErr w:type="spellStart"/>
            <w:r>
              <w:rPr>
                <w:color w:val="000000"/>
              </w:rPr>
              <w:t>sector_prices</w:t>
            </w:r>
            <w:proofErr w:type="spellEnd"/>
          </w:p>
        </w:tc>
        <w:tc>
          <w:tcPr>
            <w:tcW w:w="1400" w:type="dxa"/>
            <w:vAlign w:val="center"/>
          </w:tcPr>
          <w:p w14:paraId="3B5798D8" w14:textId="77777777" w:rsidR="00B513D3" w:rsidRDefault="00000000">
            <w:r>
              <w:rPr>
                <w:color w:val="000000"/>
              </w:rPr>
              <w:t>Table</w:t>
            </w:r>
          </w:p>
        </w:tc>
        <w:tc>
          <w:tcPr>
            <w:tcW w:w="5800" w:type="dxa"/>
            <w:vAlign w:val="center"/>
          </w:tcPr>
          <w:p w14:paraId="2A8F7435" w14:textId="77777777" w:rsidR="00B513D3" w:rsidRDefault="00000000">
            <w:r>
              <w:rPr>
                <w:color w:val="000000"/>
                <w:sz w:val="19"/>
                <w:szCs w:val="19"/>
              </w:rPr>
              <w:t xml:space="preserve">Raw daily OHLC price data pulled via </w:t>
            </w:r>
            <w:proofErr w:type="spellStart"/>
            <w:r>
              <w:rPr>
                <w:color w:val="000000"/>
                <w:sz w:val="19"/>
                <w:szCs w:val="19"/>
              </w:rPr>
              <w:t>yfinance</w:t>
            </w:r>
            <w:proofErr w:type="spellEnd"/>
            <w:r>
              <w:rPr>
                <w:color w:val="000000"/>
                <w:sz w:val="19"/>
                <w:szCs w:val="19"/>
              </w:rPr>
              <w:t xml:space="preserve"> for all 11 sector ETFs, 3-year lookback.</w:t>
            </w:r>
          </w:p>
        </w:tc>
      </w:tr>
      <w:tr w:rsidR="00B513D3" w14:paraId="34188947" w14:textId="77777777">
        <w:tblPrEx>
          <w:tblCellMar>
            <w:top w:w="0" w:type="dxa"/>
            <w:bottom w:w="0" w:type="dxa"/>
          </w:tblCellMar>
        </w:tblPrEx>
        <w:tc>
          <w:tcPr>
            <w:tcW w:w="2200" w:type="dxa"/>
            <w:vAlign w:val="center"/>
          </w:tcPr>
          <w:p w14:paraId="629C9037" w14:textId="77777777" w:rsidR="00B513D3" w:rsidRDefault="00000000">
            <w:proofErr w:type="spellStart"/>
            <w:r>
              <w:rPr>
                <w:color w:val="000000"/>
              </w:rPr>
              <w:t>dim_sector</w:t>
            </w:r>
            <w:proofErr w:type="spellEnd"/>
          </w:p>
        </w:tc>
        <w:tc>
          <w:tcPr>
            <w:tcW w:w="1400" w:type="dxa"/>
            <w:vAlign w:val="center"/>
          </w:tcPr>
          <w:p w14:paraId="2B556FB0" w14:textId="77777777" w:rsidR="00B513D3" w:rsidRDefault="00000000">
            <w:r>
              <w:rPr>
                <w:color w:val="000000"/>
              </w:rPr>
              <w:t>Table</w:t>
            </w:r>
          </w:p>
        </w:tc>
        <w:tc>
          <w:tcPr>
            <w:tcW w:w="5800" w:type="dxa"/>
            <w:vAlign w:val="center"/>
          </w:tcPr>
          <w:p w14:paraId="07AA8763" w14:textId="1B872FCF" w:rsidR="00B513D3" w:rsidRDefault="00000000">
            <w:r>
              <w:rPr>
                <w:color w:val="000000"/>
                <w:sz w:val="19"/>
                <w:szCs w:val="19"/>
              </w:rPr>
              <w:t xml:space="preserve">One row per ticker/sector </w:t>
            </w:r>
            <w:r w:rsidR="00C615A8">
              <w:rPr>
                <w:color w:val="000000"/>
                <w:sz w:val="19"/>
                <w:szCs w:val="19"/>
              </w:rPr>
              <w:t>-</w:t>
            </w:r>
            <w:r>
              <w:rPr>
                <w:color w:val="000000"/>
                <w:sz w:val="19"/>
                <w:szCs w:val="19"/>
              </w:rPr>
              <w:t xml:space="preserve"> clean lookup/reference data, static reference dimension.</w:t>
            </w:r>
          </w:p>
        </w:tc>
      </w:tr>
      <w:tr w:rsidR="00B513D3" w14:paraId="0F219BFA" w14:textId="77777777">
        <w:tblPrEx>
          <w:tblCellMar>
            <w:top w:w="0" w:type="dxa"/>
            <w:bottom w:w="0" w:type="dxa"/>
          </w:tblCellMar>
        </w:tblPrEx>
        <w:tc>
          <w:tcPr>
            <w:tcW w:w="2200" w:type="dxa"/>
            <w:vAlign w:val="center"/>
          </w:tcPr>
          <w:p w14:paraId="2C5737FE" w14:textId="77777777" w:rsidR="00B513D3" w:rsidRDefault="00000000">
            <w:proofErr w:type="spellStart"/>
            <w:r>
              <w:rPr>
                <w:color w:val="000000"/>
              </w:rPr>
              <w:t>fact_daily_price</w:t>
            </w:r>
            <w:proofErr w:type="spellEnd"/>
          </w:p>
        </w:tc>
        <w:tc>
          <w:tcPr>
            <w:tcW w:w="1400" w:type="dxa"/>
            <w:vAlign w:val="center"/>
          </w:tcPr>
          <w:p w14:paraId="290BE4E4" w14:textId="77777777" w:rsidR="00B513D3" w:rsidRDefault="00000000">
            <w:r>
              <w:rPr>
                <w:color w:val="000000"/>
              </w:rPr>
              <w:t>Table</w:t>
            </w:r>
          </w:p>
        </w:tc>
        <w:tc>
          <w:tcPr>
            <w:tcW w:w="5800" w:type="dxa"/>
            <w:vAlign w:val="center"/>
          </w:tcPr>
          <w:p w14:paraId="4858BB98" w14:textId="77777777" w:rsidR="00B513D3" w:rsidRDefault="00000000">
            <w:r>
              <w:rPr>
                <w:color w:val="000000"/>
                <w:sz w:val="19"/>
                <w:szCs w:val="19"/>
              </w:rPr>
              <w:t xml:space="preserve">Core fact table; adds </w:t>
            </w:r>
            <w:proofErr w:type="spellStart"/>
            <w:r>
              <w:rPr>
                <w:color w:val="000000"/>
                <w:sz w:val="19"/>
                <w:szCs w:val="19"/>
              </w:rPr>
              <w:t>daily_return</w:t>
            </w:r>
            <w:proofErr w:type="spellEnd"/>
            <w:r>
              <w:rPr>
                <w:color w:val="000000"/>
                <w:sz w:val="19"/>
                <w:szCs w:val="19"/>
              </w:rPr>
              <w:t xml:space="preserve"> per </w:t>
            </w:r>
            <w:proofErr w:type="gramStart"/>
            <w:r>
              <w:rPr>
                <w:color w:val="000000"/>
                <w:sz w:val="19"/>
                <w:szCs w:val="19"/>
              </w:rPr>
              <w:t>ticker</w:t>
            </w:r>
            <w:proofErr w:type="gramEnd"/>
            <w:r>
              <w:rPr>
                <w:color w:val="000000"/>
                <w:sz w:val="19"/>
                <w:szCs w:val="19"/>
              </w:rPr>
              <w:t xml:space="preserve"> via a </w:t>
            </w:r>
            <w:proofErr w:type="gramStart"/>
            <w:r>
              <w:rPr>
                <w:color w:val="000000"/>
                <w:sz w:val="19"/>
                <w:szCs w:val="19"/>
              </w:rPr>
              <w:t>LAG(</w:t>
            </w:r>
            <w:proofErr w:type="gramEnd"/>
            <w:r>
              <w:rPr>
                <w:color w:val="000000"/>
                <w:sz w:val="19"/>
                <w:szCs w:val="19"/>
              </w:rPr>
              <w:t>) window function.</w:t>
            </w:r>
          </w:p>
        </w:tc>
      </w:tr>
      <w:tr w:rsidR="00B513D3" w14:paraId="0AF6B79E" w14:textId="77777777">
        <w:tblPrEx>
          <w:tblCellMar>
            <w:top w:w="0" w:type="dxa"/>
            <w:bottom w:w="0" w:type="dxa"/>
          </w:tblCellMar>
        </w:tblPrEx>
        <w:tc>
          <w:tcPr>
            <w:tcW w:w="2200" w:type="dxa"/>
            <w:vAlign w:val="center"/>
          </w:tcPr>
          <w:p w14:paraId="17696C90" w14:textId="77777777" w:rsidR="00B513D3" w:rsidRDefault="00000000">
            <w:proofErr w:type="spellStart"/>
            <w:r>
              <w:rPr>
                <w:color w:val="000000"/>
              </w:rPr>
              <w:t>fact_cumulative_return</w:t>
            </w:r>
            <w:proofErr w:type="spellEnd"/>
          </w:p>
        </w:tc>
        <w:tc>
          <w:tcPr>
            <w:tcW w:w="1400" w:type="dxa"/>
            <w:vAlign w:val="center"/>
          </w:tcPr>
          <w:p w14:paraId="42768044" w14:textId="77777777" w:rsidR="00B513D3" w:rsidRDefault="00000000">
            <w:r>
              <w:rPr>
                <w:color w:val="000000"/>
              </w:rPr>
              <w:t>Table</w:t>
            </w:r>
          </w:p>
        </w:tc>
        <w:tc>
          <w:tcPr>
            <w:tcW w:w="5800" w:type="dxa"/>
            <w:vAlign w:val="center"/>
          </w:tcPr>
          <w:p w14:paraId="57239422" w14:textId="77777777" w:rsidR="00B513D3" w:rsidRDefault="00000000">
            <w:r>
              <w:rPr>
                <w:color w:val="000000"/>
                <w:sz w:val="19"/>
                <w:szCs w:val="19"/>
              </w:rPr>
              <w:t xml:space="preserve">Compounded return </w:t>
            </w:r>
            <w:proofErr w:type="gramStart"/>
            <w:r>
              <w:rPr>
                <w:color w:val="000000"/>
                <w:sz w:val="19"/>
                <w:szCs w:val="19"/>
              </w:rPr>
              <w:t>over time</w:t>
            </w:r>
            <w:proofErr w:type="gramEnd"/>
            <w:r>
              <w:rPr>
                <w:color w:val="000000"/>
                <w:sz w:val="19"/>
                <w:szCs w:val="19"/>
              </w:rPr>
              <w:t xml:space="preserve"> per sector (originally built as a view; materialized to a table after an ODBC/Power BI compatibility issue).</w:t>
            </w:r>
          </w:p>
        </w:tc>
      </w:tr>
      <w:tr w:rsidR="00B513D3" w14:paraId="4B9CBFB6" w14:textId="77777777">
        <w:tblPrEx>
          <w:tblCellMar>
            <w:top w:w="0" w:type="dxa"/>
            <w:bottom w:w="0" w:type="dxa"/>
          </w:tblCellMar>
        </w:tblPrEx>
        <w:tc>
          <w:tcPr>
            <w:tcW w:w="2200" w:type="dxa"/>
            <w:vAlign w:val="center"/>
          </w:tcPr>
          <w:p w14:paraId="35EEE504" w14:textId="77777777" w:rsidR="00B513D3" w:rsidRDefault="00000000">
            <w:proofErr w:type="spellStart"/>
            <w:r>
              <w:rPr>
                <w:color w:val="000000"/>
              </w:rPr>
              <w:t>risk_free_rate</w:t>
            </w:r>
            <w:proofErr w:type="spellEnd"/>
          </w:p>
        </w:tc>
        <w:tc>
          <w:tcPr>
            <w:tcW w:w="1400" w:type="dxa"/>
            <w:vAlign w:val="center"/>
          </w:tcPr>
          <w:p w14:paraId="28D4A245" w14:textId="77777777" w:rsidR="00B513D3" w:rsidRDefault="00000000">
            <w:r>
              <w:rPr>
                <w:color w:val="000000"/>
              </w:rPr>
              <w:t>Table</w:t>
            </w:r>
          </w:p>
        </w:tc>
        <w:tc>
          <w:tcPr>
            <w:tcW w:w="5800" w:type="dxa"/>
            <w:vAlign w:val="center"/>
          </w:tcPr>
          <w:p w14:paraId="0062066A" w14:textId="77777777" w:rsidR="00B513D3" w:rsidRDefault="00000000">
            <w:r>
              <w:rPr>
                <w:color w:val="000000"/>
                <w:sz w:val="19"/>
                <w:szCs w:val="19"/>
              </w:rPr>
              <w:t>10-Year Treasury yield pulled from FRED; baseline used in the Sharpe ratio calculation.</w:t>
            </w:r>
          </w:p>
        </w:tc>
      </w:tr>
      <w:tr w:rsidR="00B513D3" w14:paraId="46AA2A68" w14:textId="77777777">
        <w:tblPrEx>
          <w:tblCellMar>
            <w:top w:w="0" w:type="dxa"/>
            <w:bottom w:w="0" w:type="dxa"/>
          </w:tblCellMar>
        </w:tblPrEx>
        <w:tc>
          <w:tcPr>
            <w:tcW w:w="2200" w:type="dxa"/>
            <w:vAlign w:val="center"/>
          </w:tcPr>
          <w:p w14:paraId="57739397" w14:textId="77777777" w:rsidR="00B513D3" w:rsidRDefault="00000000">
            <w:proofErr w:type="spellStart"/>
            <w:r>
              <w:rPr>
                <w:color w:val="000000"/>
              </w:rPr>
              <w:t>sector_volatility</w:t>
            </w:r>
            <w:proofErr w:type="spellEnd"/>
          </w:p>
        </w:tc>
        <w:tc>
          <w:tcPr>
            <w:tcW w:w="1400" w:type="dxa"/>
            <w:vAlign w:val="center"/>
          </w:tcPr>
          <w:p w14:paraId="07F1F45B" w14:textId="77777777" w:rsidR="00B513D3" w:rsidRDefault="00000000">
            <w:r>
              <w:rPr>
                <w:color w:val="000000"/>
              </w:rPr>
              <w:t>Table</w:t>
            </w:r>
          </w:p>
        </w:tc>
        <w:tc>
          <w:tcPr>
            <w:tcW w:w="5800" w:type="dxa"/>
            <w:vAlign w:val="center"/>
          </w:tcPr>
          <w:p w14:paraId="6837FB22" w14:textId="77777777" w:rsidR="00B513D3" w:rsidRDefault="00000000">
            <w:r>
              <w:rPr>
                <w:color w:val="000000"/>
                <w:sz w:val="19"/>
                <w:szCs w:val="19"/>
              </w:rPr>
              <w:t xml:space="preserve">Rolling 30-day annualized volatility (standard deviation of </w:t>
            </w:r>
            <w:proofErr w:type="spellStart"/>
            <w:r>
              <w:rPr>
                <w:color w:val="000000"/>
                <w:sz w:val="19"/>
                <w:szCs w:val="19"/>
              </w:rPr>
              <w:t>daily_return</w:t>
            </w:r>
            <w:proofErr w:type="spellEnd"/>
            <w:r>
              <w:rPr>
                <w:color w:val="000000"/>
                <w:sz w:val="19"/>
                <w:szCs w:val="19"/>
              </w:rPr>
              <w:t>) per sector.</w:t>
            </w:r>
          </w:p>
        </w:tc>
      </w:tr>
      <w:tr w:rsidR="00B513D3" w14:paraId="4A7B9916" w14:textId="77777777">
        <w:tblPrEx>
          <w:tblCellMar>
            <w:top w:w="0" w:type="dxa"/>
            <w:bottom w:w="0" w:type="dxa"/>
          </w:tblCellMar>
        </w:tblPrEx>
        <w:tc>
          <w:tcPr>
            <w:tcW w:w="2200" w:type="dxa"/>
            <w:vAlign w:val="center"/>
          </w:tcPr>
          <w:p w14:paraId="0929B692" w14:textId="77777777" w:rsidR="00B513D3" w:rsidRDefault="00000000">
            <w:proofErr w:type="spellStart"/>
            <w:r>
              <w:rPr>
                <w:color w:val="000000"/>
              </w:rPr>
              <w:t>sector_sharpe</w:t>
            </w:r>
            <w:proofErr w:type="spellEnd"/>
          </w:p>
        </w:tc>
        <w:tc>
          <w:tcPr>
            <w:tcW w:w="1400" w:type="dxa"/>
            <w:vAlign w:val="center"/>
          </w:tcPr>
          <w:p w14:paraId="204DA9E6" w14:textId="77777777" w:rsidR="00B513D3" w:rsidRDefault="00000000">
            <w:r>
              <w:rPr>
                <w:color w:val="000000"/>
              </w:rPr>
              <w:t>Table</w:t>
            </w:r>
          </w:p>
        </w:tc>
        <w:tc>
          <w:tcPr>
            <w:tcW w:w="5800" w:type="dxa"/>
            <w:vAlign w:val="center"/>
          </w:tcPr>
          <w:p w14:paraId="5E7BB27F" w14:textId="77777777" w:rsidR="00B513D3" w:rsidRDefault="00000000">
            <w:r>
              <w:rPr>
                <w:color w:val="000000"/>
                <w:sz w:val="19"/>
                <w:szCs w:val="19"/>
              </w:rPr>
              <w:t>Rolling Sharpe ratio per sector: (annualized return − risk-free rate) / annualized volatility.</w:t>
            </w:r>
          </w:p>
        </w:tc>
      </w:tr>
      <w:tr w:rsidR="00B513D3" w14:paraId="18B67C61" w14:textId="77777777">
        <w:tblPrEx>
          <w:tblCellMar>
            <w:top w:w="0" w:type="dxa"/>
            <w:bottom w:w="0" w:type="dxa"/>
          </w:tblCellMar>
        </w:tblPrEx>
        <w:tc>
          <w:tcPr>
            <w:tcW w:w="2200" w:type="dxa"/>
            <w:vAlign w:val="center"/>
          </w:tcPr>
          <w:p w14:paraId="02ACD0DD" w14:textId="77777777" w:rsidR="00B513D3" w:rsidRDefault="00000000">
            <w:proofErr w:type="spellStart"/>
            <w:r>
              <w:rPr>
                <w:color w:val="000000"/>
              </w:rPr>
              <w:t>sector_correlation</w:t>
            </w:r>
            <w:proofErr w:type="spellEnd"/>
          </w:p>
        </w:tc>
        <w:tc>
          <w:tcPr>
            <w:tcW w:w="1400" w:type="dxa"/>
            <w:vAlign w:val="center"/>
          </w:tcPr>
          <w:p w14:paraId="3AD56908" w14:textId="77777777" w:rsidR="00B513D3" w:rsidRDefault="00000000">
            <w:r>
              <w:rPr>
                <w:color w:val="000000"/>
              </w:rPr>
              <w:t>Table</w:t>
            </w:r>
          </w:p>
        </w:tc>
        <w:tc>
          <w:tcPr>
            <w:tcW w:w="5800" w:type="dxa"/>
            <w:vAlign w:val="center"/>
          </w:tcPr>
          <w:p w14:paraId="282B1AF9" w14:textId="77777777" w:rsidR="00B513D3" w:rsidRDefault="00000000">
            <w:r>
              <w:rPr>
                <w:color w:val="000000"/>
                <w:sz w:val="19"/>
                <w:szCs w:val="19"/>
              </w:rPr>
              <w:t>Full-period pairwise correlation of daily returns across all 11 sectors (121 rows: 11 × 11).</w:t>
            </w:r>
          </w:p>
        </w:tc>
      </w:tr>
    </w:tbl>
    <w:p w14:paraId="2BCE5860" w14:textId="77777777" w:rsidR="00B513D3" w:rsidRDefault="00000000">
      <w:r>
        <w:br w:type="page"/>
      </w:r>
    </w:p>
    <w:p w14:paraId="26212B20" w14:textId="77777777" w:rsidR="00B513D3" w:rsidRDefault="00000000">
      <w:pPr>
        <w:pStyle w:val="Heading1"/>
        <w:spacing w:before="360" w:after="160"/>
      </w:pPr>
      <w:r>
        <w:lastRenderedPageBreak/>
        <w:t>9. Open Items / Next Steps</w:t>
      </w:r>
    </w:p>
    <w:p w14:paraId="618032B4" w14:textId="77777777" w:rsidR="00B513D3" w:rsidRDefault="00000000">
      <w:pPr>
        <w:pStyle w:val="Heading2"/>
        <w:spacing w:before="260" w:after="120"/>
      </w:pPr>
      <w:r>
        <w:t>Remaining in Original 1-Week Plan</w:t>
      </w:r>
    </w:p>
    <w:p w14:paraId="0E26198E" w14:textId="77777777" w:rsidR="00B513D3" w:rsidRDefault="00000000">
      <w:pPr>
        <w:pStyle w:val="ListParagraph"/>
        <w:numPr>
          <w:ilvl w:val="0"/>
          <w:numId w:val="1"/>
        </w:numPr>
        <w:spacing w:after="60"/>
      </w:pPr>
      <w:r>
        <w:t xml:space="preserve">Set up table relationships in Power BI's Model view (linking </w:t>
      </w:r>
      <w:proofErr w:type="spellStart"/>
      <w:r>
        <w:t>dim_sector</w:t>
      </w:r>
      <w:proofErr w:type="spellEnd"/>
      <w:r>
        <w:t xml:space="preserve"> to fact tables via ticker) so slicers/filters behave consistently across pages.</w:t>
      </w:r>
    </w:p>
    <w:p w14:paraId="66AF2138" w14:textId="77777777" w:rsidR="00B513D3" w:rsidRDefault="00000000">
      <w:pPr>
        <w:pStyle w:val="ListParagraph"/>
        <w:numPr>
          <w:ilvl w:val="0"/>
          <w:numId w:val="1"/>
        </w:numPr>
        <w:spacing w:after="60"/>
      </w:pPr>
      <w:r>
        <w:t>Build the 3 dashboard pages: Sector Overview, Trend View, Risk Monitor.</w:t>
      </w:r>
    </w:p>
    <w:p w14:paraId="679A49DE" w14:textId="77777777" w:rsidR="00B513D3" w:rsidRDefault="00000000">
      <w:pPr>
        <w:pStyle w:val="ListParagraph"/>
        <w:numPr>
          <w:ilvl w:val="0"/>
          <w:numId w:val="1"/>
        </w:numPr>
        <w:spacing w:after="60"/>
      </w:pPr>
      <w:r>
        <w:t>Day 6: write a 1-page insight summary translating findings into a plain-language recommendation.</w:t>
      </w:r>
    </w:p>
    <w:p w14:paraId="2510B266" w14:textId="77777777" w:rsidR="00B513D3" w:rsidRDefault="00000000">
      <w:pPr>
        <w:pStyle w:val="ListParagraph"/>
        <w:numPr>
          <w:ilvl w:val="0"/>
          <w:numId w:val="1"/>
        </w:numPr>
        <w:spacing w:after="60"/>
      </w:pPr>
      <w:r>
        <w:t>Day 7: record a short walkthrough, write a README, and package the project for GitHub.</w:t>
      </w:r>
    </w:p>
    <w:p w14:paraId="0C98CA5A" w14:textId="77777777" w:rsidR="00B513D3" w:rsidRDefault="00000000">
      <w:pPr>
        <w:pStyle w:val="Heading2"/>
        <w:spacing w:before="260" w:after="120"/>
      </w:pPr>
      <w:r>
        <w:t>Potential Extension: Dynamic Data Refresh</w:t>
      </w:r>
    </w:p>
    <w:p w14:paraId="5C978342" w14:textId="77777777" w:rsidR="00B513D3" w:rsidRDefault="00000000">
      <w:pPr>
        <w:spacing w:after="140"/>
      </w:pPr>
      <w:r>
        <w:t>The current pipeline is a static, one-time snapshot. Options considered for making it dynamic, in increasing order of realism/complexity:</w:t>
      </w:r>
    </w:p>
    <w:p w14:paraId="3B936D65" w14:textId="0D5F477A" w:rsidR="00B513D3" w:rsidRDefault="00000000">
      <w:pPr>
        <w:pStyle w:val="ListParagraph"/>
        <w:numPr>
          <w:ilvl w:val="0"/>
          <w:numId w:val="1"/>
        </w:numPr>
        <w:spacing w:after="60"/>
      </w:pPr>
      <w:r>
        <w:t>Scheduled local script (Task Scheduler/</w:t>
      </w:r>
      <w:proofErr w:type="spellStart"/>
      <w:r>
        <w:t>cron</w:t>
      </w:r>
      <w:proofErr w:type="spellEnd"/>
      <w:r>
        <w:t xml:space="preserve">) </w:t>
      </w:r>
      <w:r w:rsidR="00C615A8">
        <w:t>-</w:t>
      </w:r>
      <w:r>
        <w:t xml:space="preserve"> </w:t>
      </w:r>
      <w:proofErr w:type="gramStart"/>
      <w:r>
        <w:t>simplest, but</w:t>
      </w:r>
      <w:proofErr w:type="gramEnd"/>
      <w:r>
        <w:t xml:space="preserve"> doesn't solve automatic dashboard refresh.</w:t>
      </w:r>
    </w:p>
    <w:p w14:paraId="21D87D2E" w14:textId="5E139B5A" w:rsidR="00B513D3" w:rsidRDefault="00000000">
      <w:pPr>
        <w:pStyle w:val="ListParagraph"/>
        <w:numPr>
          <w:ilvl w:val="0"/>
          <w:numId w:val="1"/>
        </w:numPr>
        <w:spacing w:after="60"/>
      </w:pPr>
      <w:r>
        <w:t xml:space="preserve">Power BI scheduled refresh + On-Premises Data Gateway </w:t>
      </w:r>
      <w:r w:rsidR="00C615A8">
        <w:t>-</w:t>
      </w:r>
      <w:r>
        <w:t xml:space="preserve"> true automatic </w:t>
      </w:r>
      <w:proofErr w:type="gramStart"/>
      <w:r>
        <w:t>refresh, but</w:t>
      </w:r>
      <w:proofErr w:type="gramEnd"/>
      <w:r>
        <w:t xml:space="preserve"> depends on the local machine being on.</w:t>
      </w:r>
    </w:p>
    <w:p w14:paraId="09471E1D" w14:textId="0D10AA15" w:rsidR="00B513D3" w:rsidRDefault="00000000">
      <w:pPr>
        <w:pStyle w:val="ListParagraph"/>
        <w:numPr>
          <w:ilvl w:val="0"/>
          <w:numId w:val="1"/>
        </w:numPr>
        <w:spacing w:after="60"/>
      </w:pPr>
      <w:r>
        <w:t xml:space="preserve">Migrate to a cloud database (e.g., </w:t>
      </w:r>
      <w:proofErr w:type="spellStart"/>
      <w:r>
        <w:t>Supabase</w:t>
      </w:r>
      <w:proofErr w:type="spellEnd"/>
      <w:r>
        <w:t xml:space="preserve">/Neon Postgres) with ingestion automated via GitHub </w:t>
      </w:r>
      <w:proofErr w:type="gramStart"/>
      <w:r>
        <w:t>Actions  closest</w:t>
      </w:r>
      <w:proofErr w:type="gramEnd"/>
      <w:r>
        <w:t xml:space="preserve"> to how a real company would architect this; no dependency on a local machine.</w:t>
      </w:r>
    </w:p>
    <w:p w14:paraId="085AEE31" w14:textId="77777777" w:rsidR="00B513D3" w:rsidRDefault="00000000">
      <w:pPr>
        <w:pStyle w:val="ListParagraph"/>
        <w:numPr>
          <w:ilvl w:val="0"/>
          <w:numId w:val="1"/>
        </w:numPr>
        <w:spacing w:after="60"/>
      </w:pPr>
      <w:r>
        <w:t>Regardless of approach: decide whether each refresh re-pulls the full 3-year history or appends only new trading days (incremental load).</w:t>
      </w:r>
    </w:p>
    <w:p w14:paraId="2370955C" w14:textId="77777777" w:rsidR="00B513D3" w:rsidRDefault="00000000">
      <w:pPr>
        <w:spacing w:after="140"/>
      </w:pPr>
      <w:r>
        <w:rPr>
          <w:i/>
          <w:iCs/>
          <w:color w:val="595959"/>
        </w:rPr>
        <w:t>Decision: treat the current static build as the project's MVP/core deliverable, and document dynamic refresh as a named “next steps” extension rather than expanding the current 1-week scope.</w:t>
      </w:r>
    </w:p>
    <w:p w14:paraId="311EAFCF" w14:textId="77777777" w:rsidR="00B513D3" w:rsidRDefault="00000000">
      <w:pPr>
        <w:pStyle w:val="Heading1"/>
        <w:spacing w:before="360" w:after="160"/>
      </w:pPr>
      <w:r>
        <w:t>10. Finance &amp; Technical Glossary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B513D3" w14:paraId="37F2E18E" w14:textId="77777777">
        <w:tblPrEx>
          <w:tblCellMar>
            <w:top w:w="0" w:type="dxa"/>
            <w:bottom w:w="0" w:type="dxa"/>
          </w:tblCellMar>
        </w:tblPrEx>
        <w:trPr>
          <w:tblHeader/>
        </w:trPr>
        <w:tc>
          <w:tcPr>
            <w:tcW w:w="2400" w:type="dxa"/>
            <w:shd w:val="clear" w:color="auto" w:fill="1F3864"/>
            <w:vAlign w:val="center"/>
          </w:tcPr>
          <w:p w14:paraId="014B5352" w14:textId="77777777" w:rsidR="00B513D3" w:rsidRDefault="00000000">
            <w:r>
              <w:rPr>
                <w:b/>
                <w:bCs/>
                <w:color w:val="FFFFFF"/>
              </w:rPr>
              <w:t>Term</w:t>
            </w:r>
          </w:p>
        </w:tc>
        <w:tc>
          <w:tcPr>
            <w:tcW w:w="7000" w:type="dxa"/>
            <w:shd w:val="clear" w:color="auto" w:fill="1F3864"/>
            <w:vAlign w:val="center"/>
          </w:tcPr>
          <w:p w14:paraId="41C83054" w14:textId="77777777" w:rsidR="00B513D3" w:rsidRDefault="00000000">
            <w:r>
              <w:rPr>
                <w:b/>
                <w:bCs/>
                <w:color w:val="FFFFFF"/>
              </w:rPr>
              <w:t>Plain-Language Meaning</w:t>
            </w:r>
          </w:p>
        </w:tc>
      </w:tr>
      <w:tr w:rsidR="00B513D3" w14:paraId="790E020A" w14:textId="77777777">
        <w:tblPrEx>
          <w:tblCellMar>
            <w:top w:w="0" w:type="dxa"/>
            <w:bottom w:w="0" w:type="dxa"/>
          </w:tblCellMar>
        </w:tblPrEx>
        <w:tc>
          <w:tcPr>
            <w:tcW w:w="2400" w:type="dxa"/>
            <w:vAlign w:val="center"/>
          </w:tcPr>
          <w:p w14:paraId="7BC3DE1F" w14:textId="77777777" w:rsidR="00B513D3" w:rsidRDefault="00000000">
            <w:r>
              <w:rPr>
                <w:color w:val="000000"/>
                <w:sz w:val="19"/>
                <w:szCs w:val="19"/>
              </w:rPr>
              <w:t>Adjusted Close (</w:t>
            </w:r>
            <w:proofErr w:type="spellStart"/>
            <w:r>
              <w:rPr>
                <w:color w:val="000000"/>
                <w:sz w:val="19"/>
                <w:szCs w:val="19"/>
              </w:rPr>
              <w:t>adj_close</w:t>
            </w:r>
            <w:proofErr w:type="spellEnd"/>
            <w:r>
              <w:rPr>
                <w:color w:val="000000"/>
                <w:sz w:val="19"/>
                <w:szCs w:val="19"/>
              </w:rPr>
              <w:t>)</w:t>
            </w:r>
          </w:p>
        </w:tc>
        <w:tc>
          <w:tcPr>
            <w:tcW w:w="7000" w:type="dxa"/>
            <w:vAlign w:val="center"/>
          </w:tcPr>
          <w:p w14:paraId="242D4DCA" w14:textId="57EE4E94" w:rsidR="00B513D3" w:rsidRDefault="00000000">
            <w:r>
              <w:rPr>
                <w:color w:val="000000"/>
                <w:sz w:val="19"/>
                <w:szCs w:val="19"/>
              </w:rPr>
              <w:t xml:space="preserve">Closing price corrected for dividends/splits </w:t>
            </w:r>
            <w:r w:rsidR="00C615A8">
              <w:rPr>
                <w:color w:val="000000"/>
                <w:sz w:val="19"/>
                <w:szCs w:val="19"/>
              </w:rPr>
              <w:t>-</w:t>
            </w:r>
            <w:r>
              <w:rPr>
                <w:color w:val="000000"/>
                <w:sz w:val="19"/>
                <w:szCs w:val="19"/>
              </w:rPr>
              <w:t xml:space="preserve"> used for all return calculations so payouts don't distort the numbers.</w:t>
            </w:r>
          </w:p>
        </w:tc>
      </w:tr>
      <w:tr w:rsidR="00B513D3" w14:paraId="09244071" w14:textId="77777777">
        <w:tblPrEx>
          <w:tblCellMar>
            <w:top w:w="0" w:type="dxa"/>
            <w:bottom w:w="0" w:type="dxa"/>
          </w:tblCellMar>
        </w:tblPrEx>
        <w:tc>
          <w:tcPr>
            <w:tcW w:w="2400" w:type="dxa"/>
            <w:vAlign w:val="center"/>
          </w:tcPr>
          <w:p w14:paraId="29713AA9" w14:textId="77777777" w:rsidR="00B513D3" w:rsidRDefault="00000000">
            <w:r>
              <w:rPr>
                <w:color w:val="000000"/>
                <w:sz w:val="19"/>
                <w:szCs w:val="19"/>
              </w:rPr>
              <w:t>Daily Return</w:t>
            </w:r>
          </w:p>
        </w:tc>
        <w:tc>
          <w:tcPr>
            <w:tcW w:w="7000" w:type="dxa"/>
            <w:vAlign w:val="center"/>
          </w:tcPr>
          <w:p w14:paraId="77E43723" w14:textId="77777777" w:rsidR="00B513D3" w:rsidRDefault="00000000">
            <w:r>
              <w:rPr>
                <w:color w:val="000000"/>
                <w:sz w:val="19"/>
                <w:szCs w:val="19"/>
              </w:rPr>
              <w:t>% change in price from one trading day to the next. Foundation for every other metric in the project.</w:t>
            </w:r>
          </w:p>
        </w:tc>
      </w:tr>
      <w:tr w:rsidR="00B513D3" w14:paraId="0D4F0A9E" w14:textId="77777777">
        <w:tblPrEx>
          <w:tblCellMar>
            <w:top w:w="0" w:type="dxa"/>
            <w:bottom w:w="0" w:type="dxa"/>
          </w:tblCellMar>
        </w:tblPrEx>
        <w:tc>
          <w:tcPr>
            <w:tcW w:w="2400" w:type="dxa"/>
            <w:vAlign w:val="center"/>
          </w:tcPr>
          <w:p w14:paraId="4EC8D2F1" w14:textId="77777777" w:rsidR="00B513D3" w:rsidRDefault="00000000">
            <w:r>
              <w:rPr>
                <w:color w:val="000000"/>
                <w:sz w:val="19"/>
                <w:szCs w:val="19"/>
              </w:rPr>
              <w:t>Cumulative Return</w:t>
            </w:r>
          </w:p>
        </w:tc>
        <w:tc>
          <w:tcPr>
            <w:tcW w:w="7000" w:type="dxa"/>
            <w:vAlign w:val="center"/>
          </w:tcPr>
          <w:p w14:paraId="0951419E" w14:textId="580B78C9" w:rsidR="00B513D3" w:rsidRDefault="00000000">
            <w:r>
              <w:rPr>
                <w:color w:val="000000"/>
                <w:sz w:val="19"/>
                <w:szCs w:val="19"/>
              </w:rPr>
              <w:t xml:space="preserve">“Growth of $1” over time </w:t>
            </w:r>
            <w:r w:rsidR="00C615A8">
              <w:rPr>
                <w:color w:val="000000"/>
                <w:sz w:val="19"/>
                <w:szCs w:val="19"/>
              </w:rPr>
              <w:t>-</w:t>
            </w:r>
            <w:r>
              <w:rPr>
                <w:color w:val="000000"/>
                <w:sz w:val="19"/>
                <w:szCs w:val="19"/>
              </w:rPr>
              <w:t xml:space="preserve"> compounds daily returns rather than summing them, since gains/losses build on each other.</w:t>
            </w:r>
          </w:p>
        </w:tc>
      </w:tr>
      <w:tr w:rsidR="00B513D3" w14:paraId="3F5C7372" w14:textId="77777777">
        <w:tblPrEx>
          <w:tblCellMar>
            <w:top w:w="0" w:type="dxa"/>
            <w:bottom w:w="0" w:type="dxa"/>
          </w:tblCellMar>
        </w:tblPrEx>
        <w:tc>
          <w:tcPr>
            <w:tcW w:w="2400" w:type="dxa"/>
            <w:vAlign w:val="center"/>
          </w:tcPr>
          <w:p w14:paraId="2C56F610" w14:textId="77777777" w:rsidR="00B513D3" w:rsidRDefault="00000000">
            <w:r>
              <w:rPr>
                <w:color w:val="000000"/>
                <w:sz w:val="19"/>
                <w:szCs w:val="19"/>
              </w:rPr>
              <w:t>Trailing 1-Year Return</w:t>
            </w:r>
          </w:p>
        </w:tc>
        <w:tc>
          <w:tcPr>
            <w:tcW w:w="7000" w:type="dxa"/>
            <w:vAlign w:val="center"/>
          </w:tcPr>
          <w:p w14:paraId="1F2A932A" w14:textId="7E7A73D4" w:rsidR="00B513D3" w:rsidRDefault="00000000">
            <w:r>
              <w:rPr>
                <w:color w:val="000000"/>
                <w:sz w:val="19"/>
                <w:szCs w:val="19"/>
              </w:rPr>
              <w:t xml:space="preserve">Total return over just the most recent 12 months, not the full history </w:t>
            </w:r>
            <w:r w:rsidR="00C615A8">
              <w:rPr>
                <w:color w:val="000000"/>
                <w:sz w:val="19"/>
                <w:szCs w:val="19"/>
              </w:rPr>
              <w:t>-</w:t>
            </w:r>
            <w:r>
              <w:rPr>
                <w:color w:val="000000"/>
                <w:sz w:val="19"/>
                <w:szCs w:val="19"/>
              </w:rPr>
              <w:t xml:space="preserve"> what a committee typically cares about for rebalancing.</w:t>
            </w:r>
          </w:p>
        </w:tc>
      </w:tr>
      <w:tr w:rsidR="00B513D3" w14:paraId="47F76D61" w14:textId="77777777">
        <w:tblPrEx>
          <w:tblCellMar>
            <w:top w:w="0" w:type="dxa"/>
            <w:bottom w:w="0" w:type="dxa"/>
          </w:tblCellMar>
        </w:tblPrEx>
        <w:tc>
          <w:tcPr>
            <w:tcW w:w="2400" w:type="dxa"/>
            <w:vAlign w:val="center"/>
          </w:tcPr>
          <w:p w14:paraId="58C5B74D" w14:textId="77777777" w:rsidR="00B513D3" w:rsidRDefault="00000000">
            <w:r>
              <w:rPr>
                <w:color w:val="000000"/>
                <w:sz w:val="19"/>
                <w:szCs w:val="19"/>
              </w:rPr>
              <w:t>Volatility</w:t>
            </w:r>
          </w:p>
        </w:tc>
        <w:tc>
          <w:tcPr>
            <w:tcW w:w="7000" w:type="dxa"/>
            <w:vAlign w:val="center"/>
          </w:tcPr>
          <w:p w14:paraId="3415EB7A" w14:textId="1F746B2F" w:rsidR="00B513D3" w:rsidRDefault="00000000">
            <w:r>
              <w:rPr>
                <w:color w:val="000000"/>
                <w:sz w:val="19"/>
                <w:szCs w:val="19"/>
              </w:rPr>
              <w:t xml:space="preserve">How much daily returns bounce around (standard deviation) </w:t>
            </w:r>
            <w:r w:rsidR="00C615A8">
              <w:rPr>
                <w:color w:val="000000"/>
                <w:sz w:val="19"/>
                <w:szCs w:val="19"/>
              </w:rPr>
              <w:t>-</w:t>
            </w:r>
            <w:r>
              <w:rPr>
                <w:color w:val="000000"/>
                <w:sz w:val="19"/>
                <w:szCs w:val="19"/>
              </w:rPr>
              <w:t xml:space="preserve"> a measure of risk, independent of direction.</w:t>
            </w:r>
          </w:p>
        </w:tc>
      </w:tr>
      <w:tr w:rsidR="00B513D3" w14:paraId="150313F3" w14:textId="77777777">
        <w:tblPrEx>
          <w:tblCellMar>
            <w:top w:w="0" w:type="dxa"/>
            <w:bottom w:w="0" w:type="dxa"/>
          </w:tblCellMar>
        </w:tblPrEx>
        <w:tc>
          <w:tcPr>
            <w:tcW w:w="2400" w:type="dxa"/>
            <w:vAlign w:val="center"/>
          </w:tcPr>
          <w:p w14:paraId="7A2BF5B5" w14:textId="77777777" w:rsidR="00B513D3" w:rsidRDefault="00000000">
            <w:r>
              <w:rPr>
                <w:color w:val="000000"/>
                <w:sz w:val="19"/>
                <w:szCs w:val="19"/>
              </w:rPr>
              <w:t>Annualized Volatility</w:t>
            </w:r>
          </w:p>
        </w:tc>
        <w:tc>
          <w:tcPr>
            <w:tcW w:w="7000" w:type="dxa"/>
            <w:vAlign w:val="center"/>
          </w:tcPr>
          <w:p w14:paraId="037E07EF" w14:textId="77777777" w:rsidR="00B513D3" w:rsidRDefault="00000000">
            <w:r>
              <w:rPr>
                <w:color w:val="000000"/>
                <w:sz w:val="19"/>
                <w:szCs w:val="19"/>
              </w:rPr>
              <w:t>Daily volatility scaled to a yearly figure (× √252 trading days) so it's comparable to annual return figures.</w:t>
            </w:r>
          </w:p>
        </w:tc>
      </w:tr>
      <w:tr w:rsidR="00B513D3" w14:paraId="28231CAD" w14:textId="77777777">
        <w:tblPrEx>
          <w:tblCellMar>
            <w:top w:w="0" w:type="dxa"/>
            <w:bottom w:w="0" w:type="dxa"/>
          </w:tblCellMar>
        </w:tblPrEx>
        <w:tc>
          <w:tcPr>
            <w:tcW w:w="2400" w:type="dxa"/>
            <w:vAlign w:val="center"/>
          </w:tcPr>
          <w:p w14:paraId="322106A1" w14:textId="77777777" w:rsidR="00B513D3" w:rsidRDefault="00000000">
            <w:r>
              <w:rPr>
                <w:color w:val="000000"/>
                <w:sz w:val="19"/>
                <w:szCs w:val="19"/>
              </w:rPr>
              <w:t>Risk-Free Rate</w:t>
            </w:r>
          </w:p>
        </w:tc>
        <w:tc>
          <w:tcPr>
            <w:tcW w:w="7000" w:type="dxa"/>
            <w:vAlign w:val="center"/>
          </w:tcPr>
          <w:p w14:paraId="38080E8E" w14:textId="59F75B3F" w:rsidR="00B513D3" w:rsidRDefault="00000000">
            <w:r>
              <w:rPr>
                <w:color w:val="000000"/>
                <w:sz w:val="19"/>
                <w:szCs w:val="19"/>
              </w:rPr>
              <w:t xml:space="preserve">Return from an essentially guaranteed investment (10-Year Treasury yield) </w:t>
            </w:r>
            <w:r w:rsidR="00C615A8">
              <w:rPr>
                <w:color w:val="000000"/>
                <w:sz w:val="19"/>
                <w:szCs w:val="19"/>
              </w:rPr>
              <w:t>-</w:t>
            </w:r>
            <w:r>
              <w:rPr>
                <w:color w:val="000000"/>
                <w:sz w:val="19"/>
                <w:szCs w:val="19"/>
              </w:rPr>
              <w:t xml:space="preserve"> the baseline the Sharpe ratio measures “excess” return against.</w:t>
            </w:r>
          </w:p>
        </w:tc>
      </w:tr>
      <w:tr w:rsidR="00B513D3" w14:paraId="5395A057" w14:textId="77777777">
        <w:tblPrEx>
          <w:tblCellMar>
            <w:top w:w="0" w:type="dxa"/>
            <w:bottom w:w="0" w:type="dxa"/>
          </w:tblCellMar>
        </w:tblPrEx>
        <w:tc>
          <w:tcPr>
            <w:tcW w:w="2400" w:type="dxa"/>
            <w:vAlign w:val="center"/>
          </w:tcPr>
          <w:p w14:paraId="660FF070" w14:textId="77777777" w:rsidR="00B513D3" w:rsidRDefault="00000000">
            <w:r>
              <w:rPr>
                <w:color w:val="000000"/>
                <w:sz w:val="19"/>
                <w:szCs w:val="19"/>
              </w:rPr>
              <w:t>Sharpe Ratio</w:t>
            </w:r>
          </w:p>
        </w:tc>
        <w:tc>
          <w:tcPr>
            <w:tcW w:w="7000" w:type="dxa"/>
            <w:vAlign w:val="center"/>
          </w:tcPr>
          <w:p w14:paraId="0C87DF7E" w14:textId="77777777" w:rsidR="00B513D3" w:rsidRDefault="00000000">
            <w:r>
              <w:rPr>
                <w:color w:val="000000"/>
                <w:sz w:val="19"/>
                <w:szCs w:val="19"/>
              </w:rPr>
              <w:t xml:space="preserve">Return earned per unit of risk taken, above the risk-free baseline. </w:t>
            </w:r>
            <w:proofErr w:type="spellStart"/>
            <w:proofErr w:type="gramStart"/>
            <w:r>
              <w:rPr>
                <w:color w:val="000000"/>
                <w:sz w:val="19"/>
                <w:szCs w:val="19"/>
              </w:rPr>
              <w:t>Lets</w:t>
            </w:r>
            <w:proofErr w:type="spellEnd"/>
            <w:proofErr w:type="gramEnd"/>
            <w:r>
              <w:rPr>
                <w:color w:val="000000"/>
                <w:sz w:val="19"/>
                <w:szCs w:val="19"/>
              </w:rPr>
              <w:t xml:space="preserve"> sectors be compared fairly on a risk-adjusted basis.</w:t>
            </w:r>
          </w:p>
        </w:tc>
      </w:tr>
      <w:tr w:rsidR="00B513D3" w14:paraId="37FD0AC0" w14:textId="77777777">
        <w:tblPrEx>
          <w:tblCellMar>
            <w:top w:w="0" w:type="dxa"/>
            <w:bottom w:w="0" w:type="dxa"/>
          </w:tblCellMar>
        </w:tblPrEx>
        <w:tc>
          <w:tcPr>
            <w:tcW w:w="2400" w:type="dxa"/>
            <w:vAlign w:val="center"/>
          </w:tcPr>
          <w:p w14:paraId="2E3512F5" w14:textId="77777777" w:rsidR="00B513D3" w:rsidRDefault="00000000">
            <w:r>
              <w:rPr>
                <w:color w:val="000000"/>
                <w:sz w:val="19"/>
                <w:szCs w:val="19"/>
              </w:rPr>
              <w:t>Correlation</w:t>
            </w:r>
          </w:p>
        </w:tc>
        <w:tc>
          <w:tcPr>
            <w:tcW w:w="7000" w:type="dxa"/>
            <w:vAlign w:val="center"/>
          </w:tcPr>
          <w:p w14:paraId="45250351" w14:textId="6A3B085E" w:rsidR="00B513D3" w:rsidRDefault="00000000">
            <w:r>
              <w:rPr>
                <w:color w:val="000000"/>
                <w:sz w:val="19"/>
                <w:szCs w:val="19"/>
              </w:rPr>
              <w:t xml:space="preserve">A -1 to 1 score showing how closely two sectors' returns move together </w:t>
            </w:r>
            <w:r w:rsidR="00C615A8">
              <w:rPr>
                <w:color w:val="000000"/>
                <w:sz w:val="19"/>
                <w:szCs w:val="19"/>
              </w:rPr>
              <w:t>-</w:t>
            </w:r>
            <w:r>
              <w:rPr>
                <w:color w:val="000000"/>
                <w:sz w:val="19"/>
                <w:szCs w:val="19"/>
              </w:rPr>
              <w:t xml:space="preserve"> reveals whether a portfolio is genuinely diversified.</w:t>
            </w:r>
          </w:p>
        </w:tc>
      </w:tr>
    </w:tbl>
    <w:p w14:paraId="019236CE" w14:textId="77777777" w:rsidR="00D35EAA" w:rsidRDefault="00D35EAA"/>
    <w:sectPr w:rsidR="00D35E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34888"/>
    <w:multiLevelType w:val="hybridMultilevel"/>
    <w:tmpl w:val="9184054C"/>
    <w:lvl w:ilvl="0" w:tplc="939EBB52">
      <w:start w:val="1"/>
      <w:numFmt w:val="bullet"/>
      <w:lvlText w:val="•"/>
      <w:lvlJc w:val="left"/>
      <w:pPr>
        <w:ind w:left="720" w:hanging="360"/>
      </w:pPr>
    </w:lvl>
    <w:lvl w:ilvl="1" w:tplc="C638DFE2">
      <w:numFmt w:val="decimal"/>
      <w:lvlText w:val=""/>
      <w:lvlJc w:val="left"/>
    </w:lvl>
    <w:lvl w:ilvl="2" w:tplc="74D0AF46">
      <w:numFmt w:val="decimal"/>
      <w:lvlText w:val=""/>
      <w:lvlJc w:val="left"/>
    </w:lvl>
    <w:lvl w:ilvl="3" w:tplc="AA5AABBE">
      <w:numFmt w:val="decimal"/>
      <w:lvlText w:val=""/>
      <w:lvlJc w:val="left"/>
    </w:lvl>
    <w:lvl w:ilvl="4" w:tplc="17BE4618">
      <w:numFmt w:val="decimal"/>
      <w:lvlText w:val=""/>
      <w:lvlJc w:val="left"/>
    </w:lvl>
    <w:lvl w:ilvl="5" w:tplc="69B023A2">
      <w:numFmt w:val="decimal"/>
      <w:lvlText w:val=""/>
      <w:lvlJc w:val="left"/>
    </w:lvl>
    <w:lvl w:ilvl="6" w:tplc="80325C58">
      <w:numFmt w:val="decimal"/>
      <w:lvlText w:val=""/>
      <w:lvlJc w:val="left"/>
    </w:lvl>
    <w:lvl w:ilvl="7" w:tplc="FFF02E44">
      <w:numFmt w:val="decimal"/>
      <w:lvlText w:val=""/>
      <w:lvlJc w:val="left"/>
    </w:lvl>
    <w:lvl w:ilvl="8" w:tplc="5A9460BA">
      <w:numFmt w:val="decimal"/>
      <w:lvlText w:val=""/>
      <w:lvlJc w:val="left"/>
    </w:lvl>
  </w:abstractNum>
  <w:abstractNum w:abstractNumId="1" w15:restartNumberingAfterBreak="0">
    <w:nsid w:val="525C5CF5"/>
    <w:multiLevelType w:val="hybridMultilevel"/>
    <w:tmpl w:val="AE7C7070"/>
    <w:lvl w:ilvl="0" w:tplc="065C6458">
      <w:start w:val="1"/>
      <w:numFmt w:val="bullet"/>
      <w:lvlText w:val="●"/>
      <w:lvlJc w:val="left"/>
      <w:pPr>
        <w:ind w:left="720" w:hanging="360"/>
      </w:pPr>
    </w:lvl>
    <w:lvl w:ilvl="1" w:tplc="EF9E3AC4">
      <w:start w:val="1"/>
      <w:numFmt w:val="bullet"/>
      <w:lvlText w:val="○"/>
      <w:lvlJc w:val="left"/>
      <w:pPr>
        <w:ind w:left="1440" w:hanging="360"/>
      </w:pPr>
    </w:lvl>
    <w:lvl w:ilvl="2" w:tplc="CE123C7A">
      <w:start w:val="1"/>
      <w:numFmt w:val="bullet"/>
      <w:lvlText w:val="■"/>
      <w:lvlJc w:val="left"/>
      <w:pPr>
        <w:ind w:left="2160" w:hanging="360"/>
      </w:pPr>
    </w:lvl>
    <w:lvl w:ilvl="3" w:tplc="8EF489F8">
      <w:start w:val="1"/>
      <w:numFmt w:val="bullet"/>
      <w:lvlText w:val="●"/>
      <w:lvlJc w:val="left"/>
      <w:pPr>
        <w:ind w:left="2880" w:hanging="360"/>
      </w:pPr>
    </w:lvl>
    <w:lvl w:ilvl="4" w:tplc="91B43D26">
      <w:start w:val="1"/>
      <w:numFmt w:val="bullet"/>
      <w:lvlText w:val="○"/>
      <w:lvlJc w:val="left"/>
      <w:pPr>
        <w:ind w:left="3600" w:hanging="360"/>
      </w:pPr>
    </w:lvl>
    <w:lvl w:ilvl="5" w:tplc="647C8638">
      <w:start w:val="1"/>
      <w:numFmt w:val="bullet"/>
      <w:lvlText w:val="■"/>
      <w:lvlJc w:val="left"/>
      <w:pPr>
        <w:ind w:left="4320" w:hanging="360"/>
      </w:pPr>
    </w:lvl>
    <w:lvl w:ilvl="6" w:tplc="AFB8D754">
      <w:start w:val="1"/>
      <w:numFmt w:val="bullet"/>
      <w:lvlText w:val="●"/>
      <w:lvlJc w:val="left"/>
      <w:pPr>
        <w:ind w:left="5040" w:hanging="360"/>
      </w:pPr>
    </w:lvl>
    <w:lvl w:ilvl="7" w:tplc="536A72EA">
      <w:start w:val="1"/>
      <w:numFmt w:val="bullet"/>
      <w:lvlText w:val="●"/>
      <w:lvlJc w:val="left"/>
      <w:pPr>
        <w:ind w:left="5760" w:hanging="360"/>
      </w:pPr>
    </w:lvl>
    <w:lvl w:ilvl="8" w:tplc="1E7A7AC4">
      <w:start w:val="1"/>
      <w:numFmt w:val="bullet"/>
      <w:lvlText w:val="●"/>
      <w:lvlJc w:val="left"/>
      <w:pPr>
        <w:ind w:left="6480" w:hanging="360"/>
      </w:pPr>
    </w:lvl>
  </w:abstractNum>
  <w:num w:numId="1" w16cid:durableId="1925737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3D3"/>
    <w:rsid w:val="000A6184"/>
    <w:rsid w:val="003A50B7"/>
    <w:rsid w:val="005E0CF6"/>
    <w:rsid w:val="00686887"/>
    <w:rsid w:val="007B43E6"/>
    <w:rsid w:val="00B513D3"/>
    <w:rsid w:val="00BF7826"/>
    <w:rsid w:val="00C615A8"/>
    <w:rsid w:val="00D35EAA"/>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8F8C6"/>
  <w15:docId w15:val="{5BCF7E61-0087-46DC-9A93-2F791A44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TW"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5</Pages>
  <Words>1979</Words>
  <Characters>11283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Patil, Ninad A</cp:lastModifiedBy>
  <cp:revision>5</cp:revision>
  <dcterms:created xsi:type="dcterms:W3CDTF">2026-09-02T17:19:00Z</dcterms:created>
  <dcterms:modified xsi:type="dcterms:W3CDTF">2026-09-06T19:59:00Z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b0febeb4-72c6-4ad9-985a-c9e883b2af5e</vt:lpwstr>
  </property>
</Properties>
</file>