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Literature Survey (Tabular)</w:t>
      </w:r>
    </w:p>
    <w:tbl>
      <w:tblPr>
        <w:tblW w:w="15694" w:type="dxa"/>
        <w:jc w:val="left"/>
        <w:tblInd w:w="108" w:type="dxa"/>
        <w:tblBorders>
          <w:top w:val="nil"/>
          <w:left w:val="nil"/>
          <w:bottom w:val="nil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1260"/>
        <w:gridCol w:w="1854"/>
        <w:gridCol w:w="1134"/>
        <w:gridCol w:w="1134"/>
        <w:gridCol w:w="1417"/>
        <w:gridCol w:w="993"/>
        <w:gridCol w:w="1275"/>
        <w:gridCol w:w="1276"/>
        <w:gridCol w:w="1418"/>
        <w:gridCol w:w="1842"/>
        <w:gridCol w:w="2091"/>
      </w:tblGrid>
      <w:tr>
        <w:tblPrEx>
          <w:shd w:val="clear" w:color="auto" w:fill="e6e6e6"/>
        </w:tblPrEx>
        <w:trPr>
          <w:trHeight w:val="120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Author(s)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Title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Methodology/Approach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Dataset/Input Source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Imaging Technology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Study Area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Evaluation Metrics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(paper)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Key Findings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Limitations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Our Contribution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Our Project Evaluation Metrics</w:t>
            </w:r>
          </w:p>
        </w:tc>
      </w:tr>
      <w:tr>
        <w:tblPrEx>
          <w:shd w:val="clear" w:color="auto" w:fill="e6e6e6"/>
        </w:tblPrEx>
        <w:trPr>
          <w:trHeight w:val="240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Raza et al., 2021</w:t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Real-Time Trash Detection for Modern Societies Using CCTV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CNN-based object detection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2,100 annotated CCTV images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Fixed-position CCTV cameras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Urban streets, public bins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mAP ~0.82, Accuracy ~90%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 accuracy for 8 trash categories; effective real-time CCTV detection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Only CCTV-based; no citizen input; no predictive analytics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Added dual data streams (CCTV + citizen uploads), predictive risk heatmaps, real-time auto-tasking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mAP, precision-recall for YOLOv8; cleanup task resolution time; citizen satisfaction score</w:t>
            </w:r>
          </w:p>
        </w:tc>
      </w:tr>
      <w:tr>
        <w:tblPrEx>
          <w:shd w:val="clear" w:color="auto" w:fill="e6e6e6"/>
        </w:tblPrEx>
        <w:trPr>
          <w:trHeight w:val="180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Malik et al., 2023</w:t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Machine Learning-Based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Automatic Litter Detection &amp; Classification in Smart Cities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Transfer learning with CNN (VGG16, ResNet)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Urban litter images (small dataset)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Mobile &amp; handheld cameras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Smart city streets, parks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Accuracy ~93%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Effective multi-category classification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Small dataset; no workflow automation or gamification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Integrated crowdsourced reporting with auto-assignment, gamified citizen engagement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Classification accuracy for uploads; report-to-task latency</w:t>
            </w:r>
          </w:p>
        </w:tc>
      </w:tr>
      <w:tr>
        <w:tblPrEx>
          <w:shd w:val="clear" w:color="auto" w:fill="e6e6e6"/>
        </w:tblPrEx>
        <w:trPr>
          <w:trHeight w:val="210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van Lieshout et al., 2023</w:t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Advancing Deep Learning Detection of Floating Litter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Fine-tuned SqueezeNet, DenseNet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Open water litter dataset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Fixed riverbank cameras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Riverways &amp; coastal areas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Accuracy ~90%, F1 ~0.88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Robust detection in aquatic environments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Narrow domain; no municipal integration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Applied robust YOLOv8 adaptable to varied urban environments with municipal API integration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Model performance under varied lighting/weather; false positive rate</w:t>
            </w:r>
          </w:p>
        </w:tc>
      </w:tr>
      <w:tr>
        <w:tblPrEx>
          <w:shd w:val="clear" w:color="auto" w:fill="e6e6e6"/>
        </w:tblPrEx>
        <w:trPr>
          <w:trHeight w:val="180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Pathak et al., 2024</w:t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Smart City Community Watch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Camera-Based Illegal Dumping Detection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DL-based object/event detection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CCTV smart city feeds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High-res public CCTV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Municipal dumping hotspots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mAP ~0.85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Detects illegal dumping in urban zones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No predictive risk maps or public engagement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Added predictive analytics + gamified leaderboard for proactive cleanliness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Heatmap prediction accuracy; engagement index</w:t>
            </w:r>
          </w:p>
        </w:tc>
      </w:tr>
      <w:tr>
        <w:tblPrEx>
          <w:shd w:val="clear" w:color="auto" w:fill="e6e6e6"/>
        </w:tblPrEx>
        <w:trPr>
          <w:trHeight w:val="210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Manivannan et al., 2024</w:t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Garbage Monitoring &amp; Management Using DL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UAV imagery, clustering + YOLOv4 detection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UAV municipal zone images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Drone-mounted cameras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Municipal &amp; peri-urban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mAP ~0.845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Detection + route optimization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Not continuous monitoring; no citizen reporting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Replaced UAV with cost-effective CCTV &amp; mobile app uploads for real-time detection and reporting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Cost per detection; deployment scalability; cleanup proof verification accuracy</w:t>
            </w:r>
          </w:p>
        </w:tc>
      </w:tr>
      <w:tr>
        <w:tblPrEx>
          <w:shd w:val="clear" w:color="auto" w:fill="e6e6e6"/>
        </w:tblPrEx>
        <w:trPr>
          <w:trHeight w:val="253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Sun et al., 2023</w:t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YOLOv5-OCDS: An Improved Garbage Detection Model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YOLOv5 + ODConv + Soft-NMS + C3DCN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Annotated street garbage images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RGB surveillance cameras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Urban street scenes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mAP@0.5 (95.43%), Recall (91.1%)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High real-time detection performance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Increased model complexity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We apply YOLOv8 with cleaner integration for real-time dashboards and citizen feedback loops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mAP, Precision, Recall, Dashboard response latency, Cleanup verification rate</w:t>
            </w:r>
          </w:p>
        </w:tc>
      </w:tr>
      <w:tr>
        <w:tblPrEx>
          <w:shd w:val="clear" w:color="auto" w:fill="e6e6e6"/>
        </w:tblPrEx>
        <w:trPr>
          <w:trHeight w:val="169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Gilani et al., 2023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Skip-YOLO in Multi-Scenes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YOLOv4-tiny + Skip connections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Multi-scene garbage images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Multi-angle camera setup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Urban smart spaces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mAP (88.3%), Precision (85.7%)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Robust in complex object environments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Struggles with novel trash types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 support live citizen image uploads and multi-source input (CCTV + app)</w:t>
            </w: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Detection accuracy, Cleanliness score error rate, Heatmap risk prediction accuracy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</w:tr>
      <w:tr>
        <w:tblPrEx>
          <w:shd w:val="clear" w:color="auto" w:fill="e6e6e6"/>
        </w:tblPrEx>
        <w:trPr>
          <w:trHeight w:val="253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Cai et al., 2022</w:t>
            </w:r>
            <w:r>
              <w:rPr>
                <w:rFonts w:ascii="Times Roman" w:cs="Times Roman" w:hAnsi="Times Roman" w:eastAsia="Times Roman"/>
                <w:b w:val="0"/>
                <w:bCs w:val="0"/>
              </w:rPr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YOLOG: Lightweight Network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Dilated-Deformable CNN + YOLOv4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Domestic garbage dataset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Edge camera modules (low-power)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IoT/embedded systems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AP@0.5 (94.58%), GFLOPs (6.05)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Lightweight &amp; efficient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Supports only 4 classes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Our system balances lightweight backend with diverse waste classification &amp; location mapping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FPS, Model size vs accuracy trade-off, Post-cleanup verification success rate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</w:tr>
      <w:tr>
        <w:tblPrEx>
          <w:shd w:val="clear" w:color="auto" w:fill="e6e6e6"/>
        </w:tblPrEx>
        <w:trPr>
          <w:trHeight w:val="197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Lin et al., 2022</w:t>
            </w:r>
            <w:r>
              <w:rPr>
                <w:rFonts w:ascii="Times Roman" w:cs="Times Roman" w:hAnsi="Times Roman" w:eastAsia="Times Roman"/>
                <w:b w:val="0"/>
                <w:bCs w:val="0"/>
              </w:rPr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Soft-YOLOX for Quantity Detection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Soft-NMS + YOLOX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Manhole CCTV feeds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Fixed-angle surveillance cameras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Flood-prone zones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mAP (91.89%), FPS (15.46)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Estimates trash quantity effectively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Static fixed-angle only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We implement zone-wise tracking with cleanup assignment and citizen validation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Cleanup time, Citizen rating match %, Task assignment success rate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</w:tr>
      <w:tr>
        <w:tblPrEx>
          <w:shd w:val="clear" w:color="auto" w:fill="e6e6e6"/>
        </w:tblPrEx>
        <w:trPr>
          <w:trHeight w:val="1970" w:hRule="atLeast"/>
        </w:trPr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Zhou et al., 2024</w:t>
            </w:r>
            <w:r>
              <w:rPr>
                <w:rFonts w:ascii="Times Roman" w:cs="Times Roman" w:hAnsi="Times Roman" w:eastAsia="Times Roman"/>
                <w:b w:val="0"/>
                <w:bCs w:val="0"/>
              </w:rPr>
            </w:r>
          </w:p>
        </w:tc>
        <w:tc>
          <w:tcPr>
            <w:tcW w:type="dxa" w:w="1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EcoDetect-YOLO in Complex Scenes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YOLOv5n + GhostNet + CBAM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Varied lighting, background sets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Outdoor CCTV + adaptive lighting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Mixed public areas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mAP@0.5 (92.14%), F1-score (0.90), FPS (32.9)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Works under difficult lighting conditions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Drop in nighttime accuracy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We include predictive risk analytics using events/footfall + dashboard heatmaps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Predictive risk score accuracy, Daily/Weekly resolution rate, Alert response time</w:t>
            </w:r>
          </w:p>
          <w:p>
            <w:pPr>
              <w:pStyle w:val="Default"/>
              <w:suppressAutoHyphens w:val="1"/>
              <w:spacing w:before="0" w:line="240" w:lineRule="auto"/>
            </w:pPr>
          </w:p>
        </w:tc>
      </w:tr>
    </w:tbl>
    <w:p>
      <w:pPr>
        <w:pStyle w:val="Body"/>
        <w:widowControl w:val="0"/>
        <w:spacing w:line="240" w:lineRule="auto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6840" w:h="11900" w:orient="landscape"/>
      <w:pgMar w:top="1134" w:right="567" w:bottom="1134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