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4"/>
              <w:left w:val="single" w:color="0D47A1" w:sz="4"/>
              <w:bottom w:val="single" w:color="0D47A1" w:sz="4"/>
              <w:right w:val="single" w:color="0D47A1" w:sz="4"/>
            </w:tcBorders>
            <w:shd w:fill="0D47A1" w:val="clear"/>
            <w:tcMar>
              <w:top w:type="dxa" w:w="100"/>
              <w:left w:type="dxa" w:w="150"/>
              <w:bottom w:type="dxa" w:w="100"/>
              <w:right w:type="dxa" w:w="150"/>
            </w:tcMar>
            <w:vAlign w:val="center"/>
          </w:tcPr>
          <w:p>
            <w:pPr>
              <w:spacing w:before="60" w:after="40" w:line="276"/>
              <w:jc w:val="center"/>
            </w:pPr>
            <w:r>
              <w:rPr>
                <w:rFonts w:ascii="Arial" w:cs="Arial" w:eastAsia="Arial" w:hAnsi="Arial"/>
                <w:b/>
                <w:bCs/>
                <w:i w:val="false"/>
                <w:iCs w:val="false"/>
                <w:color w:val="FF6D00"/>
                <w:sz w:val="28"/>
                <w:szCs w:val="28"/>
              </w:rPr>
              <w:t xml:space="preserve">MI.COM.CO</w:t>
            </w:r>
          </w:p>
          <w:p>
            <w:pPr>
              <w:spacing w:before="0" w:after="40" w:line="276"/>
              <w:jc w:val="center"/>
            </w:pPr>
            <w:r>
              <w:rPr>
                <w:rFonts w:ascii="Arial" w:cs="Arial" w:eastAsia="Arial" w:hAnsi="Arial"/>
                <w:b/>
                <w:bCs/>
                <w:i w:val="false"/>
                <w:iCs w:val="false"/>
                <w:color w:val="FFFFFF"/>
                <w:sz w:val="40"/>
                <w:szCs w:val="40"/>
              </w:rPr>
              <w:t xml:space="preserve">INFORME DE AUTOMATIZACIÓN</w:t>
            </w:r>
          </w:p>
          <w:p>
            <w:pPr>
              <w:spacing w:before="0" w:after="60" w:line="276"/>
              <w:jc w:val="center"/>
            </w:pPr>
            <w:r>
              <w:rPr>
                <w:rFonts w:ascii="Arial" w:cs="Arial" w:eastAsia="Arial" w:hAnsi="Arial"/>
                <w:b w:val="false"/>
                <w:bCs w:val="false"/>
                <w:i w:val="false"/>
                <w:iCs w:val="false"/>
                <w:color w:val="CCE0FF"/>
                <w:sz w:val="28"/>
                <w:szCs w:val="28"/>
              </w:rPr>
              <w:t xml:space="preserve">Sistema de Notificaciones de Renovaciones</w:t>
            </w:r>
          </w:p>
        </w:tc>
      </w:tr>
    </w:tbl>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D00" w:sz="4"/>
              <w:left w:val="single" w:color="FF6D00" w:sz="4"/>
              <w:bottom w:val="single" w:color="FF6D00" w:sz="4"/>
              <w:right w:val="single" w:color="FF6D00" w:sz="4"/>
            </w:tcBorders>
            <w:shd w:fill="FF6D00" w:val="clear"/>
            <w:tcMar>
              <w:top w:type="dxa" w:w="100"/>
              <w:left w:type="dxa" w:w="150"/>
              <w:bottom w:type="dxa" w:w="100"/>
              <w:right w:type="dxa" w:w="150"/>
            </w:tcMar>
            <w:vAlign w:val="center"/>
          </w:tcPr>
          <w:p>
            <w:pPr>
              <w:spacing w:before="80" w:after="80" w:line="276"/>
              <w:jc w:val="center"/>
            </w:pPr>
            <w:r>
              <w:rPr>
                <w:rFonts w:ascii="Arial" w:cs="Arial" w:eastAsia="Arial" w:hAnsi="Arial"/>
                <w:b/>
                <w:bCs/>
                <w:i w:val="false"/>
                <w:iCs w:val="false"/>
                <w:color w:val="FFFFFF"/>
                <w:sz w:val="24"/>
                <w:szCs w:val="24"/>
              </w:rPr>
              <w:t xml:space="preserve">De 4 horas de trabajo manual a 15 minutos automatizados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666666"/>
                <w:sz w:val="21"/>
                <w:szCs w:val="21"/>
              </w:rPr>
              <w:t xml:space="preserve">Proyecto</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1"/>
                <w:szCs w:val="21"/>
              </w:rPr>
              <w:t xml:space="preserve">Sistema de Notificaciones de Renovaciones v2.0</w:t>
            </w:r>
          </w:p>
        </w:tc>
      </w:tr>
      <w:tr>
        <w:tc>
          <w:tcPr>
            <w:tcW w:type="dxa" w:w="28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666666"/>
                <w:sz w:val="21"/>
                <w:szCs w:val="21"/>
              </w:rPr>
              <w:t xml:space="preserve">Área</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1"/>
                <w:szCs w:val="21"/>
              </w:rPr>
              <w:t xml:space="preserve">Ejecutiva de Cuenta — Renovaciones MI.COM.CO</w:t>
            </w:r>
          </w:p>
        </w:tc>
      </w:tr>
      <w:tr>
        <w:tc>
          <w:tcPr>
            <w:tcW w:type="dxa" w:w="28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666666"/>
                <w:sz w:val="21"/>
                <w:szCs w:val="21"/>
              </w:rPr>
              <w:t xml:space="preserve">Responsable</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1"/>
                <w:szCs w:val="21"/>
              </w:rPr>
              <w:t xml:space="preserve">Isa Salazar</w:t>
            </w:r>
          </w:p>
        </w:tc>
      </w:tr>
      <w:tr>
        <w:tc>
          <w:tcPr>
            <w:tcW w:type="dxa" w:w="28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666666"/>
                <w:sz w:val="21"/>
                <w:szCs w:val="21"/>
              </w:rPr>
              <w:t xml:space="preserve">Fecha</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1"/>
                <w:szCs w:val="21"/>
              </w:rPr>
              <w:t xml:space="preserve">Marzo 2026</w:t>
            </w:r>
          </w:p>
        </w:tc>
      </w:tr>
      <w:tr>
        <w:tc>
          <w:tcPr>
            <w:tcW w:type="dxa" w:w="28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666666"/>
                <w:sz w:val="21"/>
                <w:szCs w:val="21"/>
              </w:rPr>
              <w:t xml:space="preserve">Estado</w:t>
            </w:r>
          </w:p>
        </w:tc>
        <w:tc>
          <w:tcPr>
            <w:tcW w:type="dxa" w:w="65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1B5E20"/>
                <w:sz w:val="21"/>
                <w:szCs w:val="21"/>
              </w:rPr>
              <w:t xml:space="preserve">En producción — funcionando correctamente</w:t>
            </w:r>
          </w:p>
        </w:tc>
      </w:tr>
    </w:tbl>
    <w:p>
      <w:pPr>
        <w:spacing w:before="300" w:after="100"/>
      </w:pPr>
      <w:r>
        <w:t xml:space="preserve"/>
      </w:r>
    </w:p>
    <w:p>
      <w:pPr>
        <w:pStyle w:val="Heading1"/>
      </w:pPr>
      <w:r>
        <w:rPr>
          <w:rFonts w:ascii="Arial" w:cs="Arial" w:eastAsia="Arial" w:hAnsi="Arial"/>
          <w:b/>
          <w:bCs/>
          <w:i w:val="false"/>
          <w:iCs w:val="false"/>
          <w:color w:val="0D47A1"/>
          <w:sz w:val="36"/>
          <w:szCs w:val="36"/>
        </w:rPr>
        <w:t xml:space="preserve">1. Resumen ejecutivo</w:t>
      </w:r>
    </w:p>
    <w:p>
      <w:pPr>
        <w:pBdr>
          <w:bottom w:val="single" w:color="0D47A1" w:sz="8" w:space="1"/>
        </w:pBdr>
        <w:spacing w:before="160" w:after="160"/>
      </w:pPr>
      <w:r>
        <w:t xml:space="preserve"/>
      </w:r>
    </w:p>
    <w:p>
      <w:pPr>
        <w:spacing w:before="80" w:after="120" w:line="310"/>
        <w:jc w:val="left"/>
      </w:pPr>
      <w:r>
        <w:rPr>
          <w:rFonts w:ascii="Arial" w:cs="Arial" w:eastAsia="Arial" w:hAnsi="Arial"/>
          <w:b w:val="false"/>
          <w:bCs w:val="false"/>
          <w:i w:val="false"/>
          <w:iCs w:val="false"/>
          <w:color w:val="1A1A2E"/>
          <w:sz w:val="22"/>
          <w:szCs w:val="22"/>
        </w:rPr>
        <w:t xml:space="preserve">Este informe documenta el desarrollo, implementación y mejoras sucesivas del Sistema de Notificaciones Automáticas de Renovaciones para MI.COM.CO, construido en colaboración con inteligencia artificial.</w:t>
      </w:r>
    </w:p>
    <w:p>
      <w:pPr>
        <w:spacing w:before="6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FFEBEE" w:val="clear"/>
            <w:tcMar>
              <w:top w:type="dxa" w:w="100"/>
              <w:left w:type="dxa" w:w="150"/>
              <w:bottom w:type="dxa" w:w="100"/>
              <w:right w:type="dxa" w:w="150"/>
            </w:tcMar>
            <w:vAlign w:val="center"/>
          </w:tcPr>
          <w:p>
            <w:pPr>
              <w:spacing w:before="40" w:after="20" w:line="276"/>
              <w:jc w:val="center"/>
            </w:pPr>
            <w:r>
              <w:rPr>
                <w:rFonts w:ascii="Arial" w:cs="Arial" w:eastAsia="Arial" w:hAnsi="Arial"/>
                <w:b w:val="false"/>
                <w:bCs w:val="false"/>
                <w:i w:val="false"/>
                <w:iCs w:val="false"/>
                <w:color w:val="1A1A2E"/>
                <w:sz w:val="32"/>
                <w:szCs w:val="32"/>
              </w:rPr>
              <w:t xml:space="preserve">⏱️</w:t>
            </w:r>
          </w:p>
          <w:p>
            <w:pPr>
              <w:spacing w:before="0" w:after="10" w:line="276"/>
              <w:jc w:val="center"/>
            </w:pPr>
            <w:r>
              <w:rPr>
                <w:rFonts w:ascii="Arial" w:cs="Arial" w:eastAsia="Arial" w:hAnsi="Arial"/>
                <w:b/>
                <w:bCs/>
                <w:i w:val="false"/>
                <w:iCs w:val="false"/>
                <w:color w:val="B71C1C"/>
                <w:sz w:val="28"/>
                <w:szCs w:val="28"/>
              </w:rPr>
              <w:t xml:space="preserve">4 horas</w:t>
            </w:r>
          </w:p>
          <w:p>
            <w:pPr>
              <w:spacing w:before="0" w:after="40" w:line="276"/>
              <w:jc w:val="center"/>
            </w:pPr>
            <w:r>
              <w:rPr>
                <w:rFonts w:ascii="Arial" w:cs="Arial" w:eastAsia="Arial" w:hAnsi="Arial"/>
                <w:b w:val="false"/>
                <w:bCs w:val="false"/>
                <w:i w:val="false"/>
                <w:iCs w:val="false"/>
                <w:color w:val="666666"/>
                <w:sz w:val="18"/>
                <w:szCs w:val="18"/>
              </w:rPr>
              <w:t xml:space="preserve">Tiempo manual anterior</w:t>
            </w:r>
          </w:p>
        </w:tc>
        <w:tc>
          <w:tcPr>
            <w:tcW w:type="dxa" w:w="234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vAlign w:val="center"/>
          </w:tcPr>
          <w:p>
            <w:pPr>
              <w:spacing w:before="40" w:after="20" w:line="276"/>
              <w:jc w:val="center"/>
            </w:pPr>
            <w:r>
              <w:rPr>
                <w:rFonts w:ascii="Arial" w:cs="Arial" w:eastAsia="Arial" w:hAnsi="Arial"/>
                <w:b w:val="false"/>
                <w:bCs w:val="false"/>
                <w:i w:val="false"/>
                <w:iCs w:val="false"/>
                <w:color w:val="1A1A2E"/>
                <w:sz w:val="32"/>
                <w:szCs w:val="32"/>
              </w:rPr>
              <w:t xml:space="preserve">⚡</w:t>
            </w:r>
          </w:p>
          <w:p>
            <w:pPr>
              <w:spacing w:before="0" w:after="10" w:line="276"/>
              <w:jc w:val="center"/>
            </w:pPr>
            <w:r>
              <w:rPr>
                <w:rFonts w:ascii="Arial" w:cs="Arial" w:eastAsia="Arial" w:hAnsi="Arial"/>
                <w:b/>
                <w:bCs/>
                <w:i w:val="false"/>
                <w:iCs w:val="false"/>
                <w:color w:val="1B5E20"/>
                <w:sz w:val="28"/>
                <w:szCs w:val="28"/>
              </w:rPr>
              <w:t xml:space="preserve">15 minutos</w:t>
            </w:r>
          </w:p>
          <w:p>
            <w:pPr>
              <w:spacing w:before="0" w:after="40" w:line="276"/>
              <w:jc w:val="center"/>
            </w:pPr>
            <w:r>
              <w:rPr>
                <w:rFonts w:ascii="Arial" w:cs="Arial" w:eastAsia="Arial" w:hAnsi="Arial"/>
                <w:b w:val="false"/>
                <w:bCs w:val="false"/>
                <w:i w:val="false"/>
                <w:iCs w:val="false"/>
                <w:color w:val="666666"/>
                <w:sz w:val="18"/>
                <w:szCs w:val="18"/>
              </w:rPr>
              <w:t xml:space="preserve">Tiempo automatizado</w:t>
            </w:r>
          </w:p>
        </w:tc>
        <w:tc>
          <w:tcPr>
            <w:tcW w:type="dxa" w:w="2340"/>
            <w:tcBorders>
              <w:top w:val="single" w:color="CCCCCC" w:sz="4"/>
              <w:left w:val="single" w:color="CCCCCC" w:sz="4"/>
              <w:bottom w:val="single" w:color="CCCCCC" w:sz="4"/>
              <w:right w:val="single" w:color="CCCCCC" w:sz="4"/>
            </w:tcBorders>
            <w:shd w:fill="E3EAF4" w:val="clear"/>
            <w:tcMar>
              <w:top w:type="dxa" w:w="100"/>
              <w:left w:type="dxa" w:w="150"/>
              <w:bottom w:type="dxa" w:w="100"/>
              <w:right w:type="dxa" w:w="150"/>
            </w:tcMar>
            <w:vAlign w:val="center"/>
          </w:tcPr>
          <w:p>
            <w:pPr>
              <w:spacing w:before="40" w:after="20" w:line="276"/>
              <w:jc w:val="center"/>
            </w:pPr>
            <w:r>
              <w:rPr>
                <w:rFonts w:ascii="Arial" w:cs="Arial" w:eastAsia="Arial" w:hAnsi="Arial"/>
                <w:b w:val="false"/>
                <w:bCs w:val="false"/>
                <w:i w:val="false"/>
                <w:iCs w:val="false"/>
                <w:color w:val="1A1A2E"/>
                <w:sz w:val="32"/>
                <w:szCs w:val="32"/>
              </w:rPr>
              <w:t xml:space="preserve">📊</w:t>
            </w:r>
          </w:p>
          <w:p>
            <w:pPr>
              <w:spacing w:before="0" w:after="10" w:line="276"/>
              <w:jc w:val="center"/>
            </w:pPr>
            <w:r>
              <w:rPr>
                <w:rFonts w:ascii="Arial" w:cs="Arial" w:eastAsia="Arial" w:hAnsi="Arial"/>
                <w:b/>
                <w:bCs/>
                <w:i w:val="false"/>
                <w:iCs w:val="false"/>
                <w:color w:val="0D47A1"/>
                <w:sz w:val="28"/>
                <w:szCs w:val="28"/>
              </w:rPr>
              <w:t xml:space="preserve">94%</w:t>
            </w:r>
          </w:p>
          <w:p>
            <w:pPr>
              <w:spacing w:before="0" w:after="40" w:line="276"/>
              <w:jc w:val="center"/>
            </w:pPr>
            <w:r>
              <w:rPr>
                <w:rFonts w:ascii="Arial" w:cs="Arial" w:eastAsia="Arial" w:hAnsi="Arial"/>
                <w:b w:val="false"/>
                <w:bCs w:val="false"/>
                <w:i w:val="false"/>
                <w:iCs w:val="false"/>
                <w:color w:val="666666"/>
                <w:sz w:val="18"/>
                <w:szCs w:val="18"/>
              </w:rPr>
              <w:t xml:space="preserve">Reducción de tiempo</w:t>
            </w:r>
          </w:p>
        </w:tc>
        <w:tc>
          <w:tcPr>
            <w:tcW w:type="dxa" w:w="2340"/>
            <w:tcBorders>
              <w:top w:val="single" w:color="CCCCCC" w:sz="4"/>
              <w:left w:val="single" w:color="CCCCCC" w:sz="4"/>
              <w:bottom w:val="single" w:color="CCCCCC" w:sz="4"/>
              <w:right w:val="single" w:color="CCCCCC" w:sz="4"/>
            </w:tcBorders>
            <w:shd w:fill="FFF3E0" w:val="clear"/>
            <w:tcMar>
              <w:top w:type="dxa" w:w="100"/>
              <w:left w:type="dxa" w:w="150"/>
              <w:bottom w:type="dxa" w:w="100"/>
              <w:right w:type="dxa" w:w="150"/>
            </w:tcMar>
            <w:vAlign w:val="center"/>
          </w:tcPr>
          <w:p>
            <w:pPr>
              <w:spacing w:before="40" w:after="20" w:line="276"/>
              <w:jc w:val="center"/>
            </w:pPr>
            <w:r>
              <w:rPr>
                <w:rFonts w:ascii="Arial" w:cs="Arial" w:eastAsia="Arial" w:hAnsi="Arial"/>
                <w:b w:val="false"/>
                <w:bCs w:val="false"/>
                <w:i w:val="false"/>
                <w:iCs w:val="false"/>
                <w:color w:val="1A1A2E"/>
                <w:sz w:val="32"/>
                <w:szCs w:val="32"/>
              </w:rPr>
              <w:t xml:space="preserve">✉️</w:t>
            </w:r>
          </w:p>
          <w:p>
            <w:pPr>
              <w:spacing w:before="0" w:after="10" w:line="276"/>
              <w:jc w:val="center"/>
            </w:pPr>
            <w:r>
              <w:rPr>
                <w:rFonts w:ascii="Arial" w:cs="Arial" w:eastAsia="Arial" w:hAnsi="Arial"/>
                <w:b/>
                <w:bCs/>
                <w:i w:val="false"/>
                <w:iCs w:val="false"/>
                <w:color w:val="FF6D00"/>
                <w:sz w:val="28"/>
                <w:szCs w:val="28"/>
              </w:rPr>
              <w:t xml:space="preserve">+15.000</w:t>
            </w:r>
          </w:p>
          <w:p>
            <w:pPr>
              <w:spacing w:before="0" w:after="40" w:line="276"/>
              <w:jc w:val="center"/>
            </w:pPr>
            <w:r>
              <w:rPr>
                <w:rFonts w:ascii="Arial" w:cs="Arial" w:eastAsia="Arial" w:hAnsi="Arial"/>
                <w:b w:val="false"/>
                <w:bCs w:val="false"/>
                <w:i w:val="false"/>
                <w:iCs w:val="false"/>
                <w:color w:val="666666"/>
                <w:sz w:val="18"/>
                <w:szCs w:val="18"/>
              </w:rPr>
              <w:t xml:space="preserve">Registros procesados</w:t>
            </w:r>
          </w:p>
        </w:tc>
      </w:tr>
    </w:tbl>
    <w:p>
      <w:pPr>
        <w:spacing w:before="120" w:after="100"/>
      </w:pPr>
      <w:r>
        <w:t xml:space="preserve"/>
      </w:r>
    </w:p>
    <w:p>
      <w:pPr>
        <w:pStyle w:val="Heading1"/>
      </w:pPr>
      <w:r>
        <w:rPr>
          <w:rFonts w:ascii="Arial" w:cs="Arial" w:eastAsia="Arial" w:hAnsi="Arial"/>
          <w:b/>
          <w:bCs/>
          <w:i w:val="false"/>
          <w:iCs w:val="false"/>
          <w:color w:val="0D47A1"/>
          <w:sz w:val="36"/>
          <w:szCs w:val="36"/>
        </w:rPr>
        <w:t xml:space="preserve">2. Situación inicial — El problema</w:t>
      </w:r>
    </w:p>
    <w:p>
      <w:pPr>
        <w:pBdr>
          <w:bottom w:val="single" w:color="0D47A1" w:sz="8" w:space="1"/>
        </w:pBdr>
        <w:spacing w:before="160" w:after="160"/>
      </w:pPr>
      <w:r>
        <w:t xml:space="preserve"/>
      </w:r>
    </w:p>
    <w:p>
      <w:pPr>
        <w:spacing w:before="80" w:after="100" w:line="310"/>
        <w:jc w:val="left"/>
      </w:pPr>
      <w:r>
        <w:rPr>
          <w:rFonts w:ascii="Arial" w:cs="Arial" w:eastAsia="Arial" w:hAnsi="Arial"/>
          <w:b w:val="false"/>
          <w:bCs w:val="false"/>
          <w:i w:val="false"/>
          <w:iCs w:val="false"/>
          <w:color w:val="1A1A2E"/>
          <w:sz w:val="22"/>
          <w:szCs w:val="22"/>
        </w:rPr>
        <w:t xml:space="preserve">Antes de la automatización, el proceso de notificación de renovaciones se realizaba completamente de forma manual, consumiendo una cantidad significativa de tiempo productivo cada semana.</w:t>
      </w:r>
    </w:p>
    <w:p>
      <w:pPr>
        <w:spacing w:before="6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6D00" w:sz="4"/>
              <w:left w:val="single" w:color="FF6D00" w:sz="4"/>
              <w:bottom w:val="single" w:color="FF6D00" w:sz="4"/>
              <w:right w:val="single" w:color="FF6D00" w:sz="4"/>
            </w:tcBorders>
            <w:shd w:fill="FF6D00"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FFFFFF"/>
                <w:sz w:val="20"/>
                <w:szCs w:val="20"/>
              </w:rPr>
              <w:t xml:space="preserve">❌  Proceso manual (ANTES)</w:t>
            </w:r>
          </w:p>
        </w:tc>
        <w:tc>
          <w:tcPr>
            <w:tcW w:type="dxa" w:w="4680"/>
            <w:tcBorders>
              <w:top w:val="single" w:color="0D47A1" w:sz="4"/>
              <w:left w:val="single" w:color="0D47A1" w:sz="4"/>
              <w:bottom w:val="single" w:color="0D47A1" w:sz="4"/>
              <w:right w:val="single" w:color="0D47A1" w:sz="4"/>
            </w:tcBorders>
            <w:shd w:fill="0D47A1"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FFFFFF"/>
                <w:sz w:val="20"/>
                <w:szCs w:val="20"/>
              </w:rPr>
              <w:t xml:space="preserve">✅  Sistema automatizado (AHORA)</w:t>
            </w:r>
          </w:p>
        </w:tc>
      </w:tr>
      <w:tr>
        <w:tc>
          <w:tcPr>
            <w:tcW w:type="dxa" w:w="4680"/>
            <w:tcBorders>
              <w:top w:val="single" w:color="CCCCCC" w:sz="4"/>
              <w:left w:val="single" w:color="CCCCCC" w:sz="4"/>
              <w:bottom w:val="single" w:color="CCCCCC" w:sz="4"/>
              <w:right w:val="single" w:color="CCCCCC" w:sz="4"/>
            </w:tcBorders>
            <w:shd w:fill="FFEBEE" w:val="clear"/>
            <w:tcMar>
              <w:top w:type="dxa" w:w="100"/>
              <w:left w:type="dxa" w:w="150"/>
              <w:bottom w:type="dxa" w:w="100"/>
              <w:right w:type="dxa" w:w="150"/>
            </w:tcMar>
            <w:vAlign w:val="center"/>
          </w:tcPr>
          <w:p>
            <w:pPr>
              <w:pStyle w:val="ListParagraph"/>
              <w:numPr>
                <w:ilvl w:val="0"/>
                <w:numId w:val="2"/>
              </w:numPr>
              <w:spacing w:before="60" w:after="60" w:line="276"/>
            </w:pPr>
            <w:r>
              <w:rPr>
                <w:rFonts w:ascii="Arial" w:cs="Arial" w:eastAsia="Arial" w:hAnsi="Arial"/>
                <w:b w:val="false"/>
                <w:bCs w:val="false"/>
                <w:color w:val="1A1A2E"/>
                <w:sz w:val="22"/>
                <w:szCs w:val="22"/>
              </w:rPr>
              <w:t xml:space="preserve">Revisar el Excel fila por fila manualmente</w:t>
            </w:r>
          </w:p>
          <w:p>
            <w:pPr>
              <w:pStyle w:val="ListParagraph"/>
              <w:numPr>
                <w:ilvl w:val="0"/>
                <w:numId w:val="2"/>
              </w:numPr>
              <w:spacing w:before="60" w:after="60" w:line="276"/>
            </w:pPr>
            <w:r>
              <w:rPr>
                <w:rFonts w:ascii="Arial" w:cs="Arial" w:eastAsia="Arial" w:hAnsi="Arial"/>
                <w:b w:val="false"/>
                <w:bCs w:val="false"/>
                <w:color w:val="1A1A2E"/>
                <w:sz w:val="22"/>
                <w:szCs w:val="22"/>
              </w:rPr>
              <w:t xml:space="preserve">Redactar o copiar cada correo individualmente</w:t>
            </w:r>
          </w:p>
          <w:p>
            <w:pPr>
              <w:pStyle w:val="ListParagraph"/>
              <w:numPr>
                <w:ilvl w:val="0"/>
                <w:numId w:val="2"/>
              </w:numPr>
              <w:spacing w:before="60" w:after="60" w:line="276"/>
            </w:pPr>
            <w:r>
              <w:rPr>
                <w:rFonts w:ascii="Arial" w:cs="Arial" w:eastAsia="Arial" w:hAnsi="Arial"/>
                <w:b w:val="false"/>
                <w:bCs w:val="false"/>
                <w:color w:val="1A1A2E"/>
                <w:sz w:val="22"/>
                <w:szCs w:val="22"/>
              </w:rPr>
              <w:t xml:space="preserve">Enviar uno a uno desde el cliente de correo</w:t>
            </w:r>
          </w:p>
          <w:p>
            <w:pPr>
              <w:pStyle w:val="ListParagraph"/>
              <w:numPr>
                <w:ilvl w:val="0"/>
                <w:numId w:val="2"/>
              </w:numPr>
              <w:spacing w:before="60" w:after="60" w:line="276"/>
            </w:pPr>
            <w:r>
              <w:rPr>
                <w:rFonts w:ascii="Arial" w:cs="Arial" w:eastAsia="Arial" w:hAnsi="Arial"/>
                <w:b w:val="false"/>
                <w:bCs w:val="false"/>
                <w:color w:val="1A1A2E"/>
                <w:sz w:val="22"/>
                <w:szCs w:val="22"/>
              </w:rPr>
              <w:t xml:space="preserve">Sin control de duplicados — riesgo de enviar dos veces</w:t>
            </w:r>
          </w:p>
          <w:p>
            <w:pPr>
              <w:pStyle w:val="ListParagraph"/>
              <w:numPr>
                <w:ilvl w:val="0"/>
                <w:numId w:val="2"/>
              </w:numPr>
              <w:spacing w:before="60" w:after="60" w:line="276"/>
            </w:pPr>
            <w:r>
              <w:rPr>
                <w:rFonts w:ascii="Arial" w:cs="Arial" w:eastAsia="Arial" w:hAnsi="Arial"/>
                <w:b w:val="false"/>
                <w:bCs w:val="false"/>
                <w:color w:val="1A1A2E"/>
                <w:sz w:val="22"/>
                <w:szCs w:val="22"/>
              </w:rPr>
              <w:t xml:space="preserve">Sin registro de qué se envió ni cuándo</w:t>
            </w:r>
          </w:p>
          <w:p>
            <w:pPr>
              <w:pStyle w:val="ListParagraph"/>
              <w:numPr>
                <w:ilvl w:val="0"/>
                <w:numId w:val="2"/>
              </w:numPr>
              <w:spacing w:before="60" w:after="60" w:line="276"/>
            </w:pPr>
            <w:r>
              <w:rPr>
                <w:rFonts w:ascii="Arial" w:cs="Arial" w:eastAsia="Arial" w:hAnsi="Arial"/>
                <w:b w:val="false"/>
                <w:bCs w:val="false"/>
                <w:color w:val="1A1A2E"/>
                <w:sz w:val="22"/>
                <w:szCs w:val="22"/>
              </w:rPr>
              <w:t xml:space="preserve">Sin diferenciación entre próximos y vencidos</w:t>
            </w:r>
          </w:p>
          <w:p>
            <w:pPr>
              <w:pStyle w:val="ListParagraph"/>
              <w:numPr>
                <w:ilvl w:val="0"/>
                <w:numId w:val="2"/>
              </w:numPr>
              <w:spacing w:before="60" w:after="60" w:line="276"/>
            </w:pPr>
            <w:r>
              <w:rPr>
                <w:rFonts w:ascii="Arial" w:cs="Arial" w:eastAsia="Arial" w:hAnsi="Arial"/>
                <w:b w:val="false"/>
                <w:bCs w:val="false"/>
                <w:color w:val="1A1A2E"/>
                <w:sz w:val="22"/>
                <w:szCs w:val="22"/>
              </w:rPr>
              <w:t xml:space="preserve">4 horas de trabajo operativo cada semana</w:t>
            </w:r>
          </w:p>
        </w:tc>
        <w:tc>
          <w:tcPr>
            <w:tcW w:type="dxa" w:w="468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vAlign w:val="center"/>
          </w:tcPr>
          <w:p>
            <w:pPr>
              <w:pStyle w:val="ListParagraph"/>
              <w:numPr>
                <w:ilvl w:val="0"/>
                <w:numId w:val="2"/>
              </w:numPr>
              <w:spacing w:before="60" w:after="60" w:line="276"/>
            </w:pPr>
            <w:r>
              <w:rPr>
                <w:rFonts w:ascii="Arial" w:cs="Arial" w:eastAsia="Arial" w:hAnsi="Arial"/>
                <w:b w:val="false"/>
                <w:bCs w:val="false"/>
                <w:color w:val="1A1A2E"/>
                <w:sz w:val="22"/>
                <w:szCs w:val="22"/>
              </w:rPr>
              <w:t xml:space="preserve">Carga el Excel y lanza con un clic</w:t>
            </w:r>
          </w:p>
          <w:p>
            <w:pPr>
              <w:pStyle w:val="ListParagraph"/>
              <w:numPr>
                <w:ilvl w:val="0"/>
                <w:numId w:val="2"/>
              </w:numPr>
              <w:spacing w:before="60" w:after="60" w:line="276"/>
            </w:pPr>
            <w:r>
              <w:rPr>
                <w:rFonts w:ascii="Arial" w:cs="Arial" w:eastAsia="Arial" w:hAnsi="Arial"/>
                <w:b w:val="false"/>
                <w:bCs w:val="false"/>
                <w:color w:val="1A1A2E"/>
                <w:sz w:val="22"/>
                <w:szCs w:val="22"/>
              </w:rPr>
              <w:t xml:space="preserve">Correos redactados y enviados automáticamente</w:t>
            </w:r>
          </w:p>
          <w:p>
            <w:pPr>
              <w:pStyle w:val="ListParagraph"/>
              <w:numPr>
                <w:ilvl w:val="0"/>
                <w:numId w:val="2"/>
              </w:numPr>
              <w:spacing w:before="60" w:after="60" w:line="276"/>
            </w:pPr>
            <w:r>
              <w:rPr>
                <w:rFonts w:ascii="Arial" w:cs="Arial" w:eastAsia="Arial" w:hAnsi="Arial"/>
                <w:b w:val="false"/>
                <w:bCs w:val="false"/>
                <w:color w:val="1A1A2E"/>
                <w:sz w:val="22"/>
                <w:szCs w:val="22"/>
              </w:rPr>
              <w:t xml:space="preserve">Envío masivo con control de límite diario</w:t>
            </w:r>
          </w:p>
          <w:p>
            <w:pPr>
              <w:pStyle w:val="ListParagraph"/>
              <w:numPr>
                <w:ilvl w:val="0"/>
                <w:numId w:val="2"/>
              </w:numPr>
              <w:spacing w:before="60" w:after="60" w:line="276"/>
            </w:pPr>
            <w:r>
              <w:rPr>
                <w:rFonts w:ascii="Arial" w:cs="Arial" w:eastAsia="Arial" w:hAnsi="Arial"/>
                <w:b w:val="false"/>
                <w:bCs w:val="false"/>
                <w:color w:val="1A1A2E"/>
                <w:sz w:val="22"/>
                <w:szCs w:val="22"/>
              </w:rPr>
              <w:t xml:space="preserve">Anti-duplicados: no repite envíos del mismo día</w:t>
            </w:r>
          </w:p>
          <w:p>
            <w:pPr>
              <w:pStyle w:val="ListParagraph"/>
              <w:numPr>
                <w:ilvl w:val="0"/>
                <w:numId w:val="2"/>
              </w:numPr>
              <w:spacing w:before="60" w:after="60" w:line="276"/>
            </w:pPr>
            <w:r>
              <w:rPr>
                <w:rFonts w:ascii="Arial" w:cs="Arial" w:eastAsia="Arial" w:hAnsi="Arial"/>
                <w:b w:val="false"/>
                <w:bCs w:val="false"/>
                <w:color w:val="1A1A2E"/>
                <w:sz w:val="22"/>
                <w:szCs w:val="22"/>
              </w:rPr>
              <w:t xml:space="preserve">Historial completo en el panel web</w:t>
            </w:r>
          </w:p>
          <w:p>
            <w:pPr>
              <w:pStyle w:val="ListParagraph"/>
              <w:numPr>
                <w:ilvl w:val="0"/>
                <w:numId w:val="2"/>
              </w:numPr>
              <w:spacing w:before="60" w:after="60" w:line="276"/>
            </w:pPr>
            <w:r>
              <w:rPr>
                <w:rFonts w:ascii="Arial" w:cs="Arial" w:eastAsia="Arial" w:hAnsi="Arial"/>
                <w:b w:val="false"/>
                <w:bCs w:val="false"/>
                <w:color w:val="1A1A2E"/>
                <w:sz w:val="22"/>
                <w:szCs w:val="22"/>
              </w:rPr>
              <w:t xml:space="preserve">Plantillas distintas: próximo a vencer y vencido</w:t>
            </w:r>
          </w:p>
          <w:p>
            <w:pPr>
              <w:pStyle w:val="ListParagraph"/>
              <w:numPr>
                <w:ilvl w:val="0"/>
                <w:numId w:val="2"/>
              </w:numPr>
              <w:spacing w:before="60" w:after="60" w:line="276"/>
            </w:pPr>
            <w:r>
              <w:rPr>
                <w:rFonts w:ascii="Arial" w:cs="Arial" w:eastAsia="Arial" w:hAnsi="Arial"/>
                <w:b w:val="false"/>
                <w:bCs w:val="false"/>
                <w:color w:val="1A1A2E"/>
                <w:sz w:val="22"/>
                <w:szCs w:val="22"/>
              </w:rPr>
              <w:t xml:space="preserve">15 minutos incluyendo revisión de resultados</w:t>
            </w:r>
          </w:p>
        </w:tc>
      </w:tr>
    </w:tbl>
    <w:p>
      <w:pPr>
        <w:spacing w:before="120" w:after="100"/>
      </w:pPr>
      <w:r>
        <w:t xml:space="preserve"/>
      </w:r>
    </w:p>
    <w:p>
      <w:pPr>
        <w:pStyle w:val="Heading1"/>
      </w:pPr>
      <w:r>
        <w:rPr>
          <w:rFonts w:ascii="Arial" w:cs="Arial" w:eastAsia="Arial" w:hAnsi="Arial"/>
          <w:b/>
          <w:bCs/>
          <w:i w:val="false"/>
          <w:iCs w:val="false"/>
          <w:color w:val="0D47A1"/>
          <w:sz w:val="36"/>
          <w:szCs w:val="36"/>
        </w:rPr>
        <w:t xml:space="preserve">3. El sistema construido</w:t>
      </w:r>
    </w:p>
    <w:p>
      <w:pPr>
        <w:pBdr>
          <w:bottom w:val="single" w:color="0D47A1" w:sz="8" w:space="1"/>
        </w:pBdr>
        <w:spacing w:before="160" w:after="160"/>
      </w:pPr>
      <w:r>
        <w:t xml:space="preserve"/>
      </w:r>
    </w:p>
    <w:p>
      <w:pPr>
        <w:spacing w:before="80" w:after="120" w:line="310"/>
        <w:jc w:val="left"/>
      </w:pPr>
      <w:r>
        <w:rPr>
          <w:rFonts w:ascii="Arial" w:cs="Arial" w:eastAsia="Arial" w:hAnsi="Arial"/>
          <w:b w:val="false"/>
          <w:bCs w:val="false"/>
          <w:i w:val="false"/>
          <w:iCs w:val="false"/>
          <w:color w:val="1A1A2E"/>
          <w:sz w:val="22"/>
          <w:szCs w:val="22"/>
        </w:rPr>
        <w:t xml:space="preserve">El sistema está compuesto por dos partes principales: un motor de procesamiento y envío, y un panel web de control que permite gestionar todo el proceso de forma visual e intuitiva.</w:t>
      </w:r>
    </w:p>
    <w:p>
      <w:pPr>
        <w:pStyle w:val="Heading2"/>
      </w:pPr>
      <w:r>
        <w:rPr>
          <w:rFonts w:ascii="Arial" w:cs="Arial" w:eastAsia="Arial" w:hAnsi="Arial"/>
          <w:b/>
          <w:bCs/>
          <w:i w:val="false"/>
          <w:iCs w:val="false"/>
          <w:color w:val="0D47A1"/>
          <w:sz w:val="28"/>
          <w:szCs w:val="28"/>
        </w:rPr>
        <w:t xml:space="preserve">3.1  Panel web de control</w:t>
      </w:r>
    </w:p>
    <w:p>
      <w:pPr>
        <w:spacing w:before="80" w:after="100" w:line="310"/>
        <w:jc w:val="left"/>
      </w:pPr>
      <w:r>
        <w:rPr>
          <w:rFonts w:ascii="Arial" w:cs="Arial" w:eastAsia="Arial" w:hAnsi="Arial"/>
          <w:b w:val="false"/>
          <w:bCs w:val="false"/>
          <w:i w:val="false"/>
          <w:iCs w:val="false"/>
          <w:color w:val="1A1A2E"/>
          <w:sz w:val="22"/>
          <w:szCs w:val="22"/>
        </w:rPr>
        <w:t xml:space="preserve">El panel web es la interfaz principal desde donde se opera el sistema. Está disponible en http://localhost:5000 y cuenta con las siguientes secciones:</w:t>
      </w:r>
    </w:p>
    <w:p>
      <w:pPr>
        <w:spacing w:before="4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0D47A1" w:sz="4"/>
              <w:left w:val="single" w:color="0D47A1" w:sz="4"/>
              <w:bottom w:val="single" w:color="0D47A1" w:sz="4"/>
              <w:right w:val="single" w:color="0D47A1" w:sz="4"/>
            </w:tcBorders>
            <w:shd w:fill="0D47A1"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FFFFFF"/>
                <w:sz w:val="20"/>
                <w:szCs w:val="20"/>
              </w:rPr>
              <w:t xml:space="preserve">Sección</w:t>
            </w:r>
          </w:p>
        </w:tc>
        <w:tc>
          <w:tcPr>
            <w:tcW w:type="dxa" w:w="7560"/>
            <w:tcBorders>
              <w:top w:val="single" w:color="0D47A1" w:sz="4"/>
              <w:left w:val="single" w:color="0D47A1" w:sz="4"/>
              <w:bottom w:val="single" w:color="0D47A1" w:sz="4"/>
              <w:right w:val="single" w:color="0D47A1" w:sz="4"/>
            </w:tcBorders>
            <w:shd w:fill="0D47A1"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FFFFFF"/>
                <w:sz w:val="20"/>
                <w:szCs w:val="20"/>
              </w:rPr>
              <w:t xml:space="preserve">Función</w:t>
            </w:r>
          </w:p>
        </w:tc>
      </w:tr>
      <w:tr>
        <w:tc>
          <w:tcPr>
            <w:tcW w:type="dxa" w:w="18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1A1A2E"/>
                <w:sz w:val="21"/>
                <w:szCs w:val="21"/>
              </w:rPr>
              <w:t xml:space="preserve">Dashboard</w:t>
            </w:r>
          </w:p>
        </w:tc>
        <w:tc>
          <w:tcPr>
            <w:tcW w:type="dxa" w:w="75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1"/>
                <w:szCs w:val="21"/>
              </w:rPr>
              <w:t xml:space="preserve">Vista principal: tarjetas de resumen (enviados hoy, próximos a vencer, vencidos), gráfica de los últimos 7 días, botón "Lanzar Notificaciones" y log de progreso en tiempo real.</w:t>
            </w:r>
          </w:p>
        </w:tc>
      </w:tr>
      <w:tr>
        <w:tc>
          <w:tcPr>
            <w:tcW w:type="dxa" w:w="18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1A1A2E"/>
                <w:sz w:val="21"/>
                <w:szCs w:val="21"/>
              </w:rPr>
              <w:t xml:space="preserve">Cargar Excel</w:t>
            </w:r>
          </w:p>
        </w:tc>
        <w:tc>
          <w:tcPr>
            <w:tcW w:type="dxa" w:w="75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1"/>
                <w:szCs w:val="21"/>
              </w:rPr>
              <w:t xml:space="preserve">Permite subir el archivo Excel con la lista de renovaciones. El sistema detecta automáticamente la hoja y columnas correctas sin importar el nombre o formato del archivo.</w:t>
            </w:r>
          </w:p>
        </w:tc>
      </w:tr>
      <w:tr>
        <w:tc>
          <w:tcPr>
            <w:tcW w:type="dxa" w:w="18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1A1A2E"/>
                <w:sz w:val="21"/>
                <w:szCs w:val="21"/>
              </w:rPr>
              <w:t xml:space="preserve">Notificaciones</w:t>
            </w:r>
          </w:p>
        </w:tc>
        <w:tc>
          <w:tcPr>
            <w:tcW w:type="dxa" w:w="75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1"/>
                <w:szCs w:val="21"/>
              </w:rPr>
              <w:t xml:space="preserve">Historial completo de todos los correos enviados, con filtros por dominio, tipo de alerta y estado. Muestra el tipo de envío (individual o agrupado), número de alerta y fecha.</w:t>
            </w:r>
          </w:p>
        </w:tc>
      </w:tr>
      <w:tr>
        <w:tc>
          <w:tcPr>
            <w:tcW w:type="dxa" w:w="18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1A1A2E"/>
                <w:sz w:val="21"/>
                <w:szCs w:val="21"/>
              </w:rPr>
              <w:t xml:space="preserve">Reportes</w:t>
            </w:r>
          </w:p>
        </w:tc>
        <w:tc>
          <w:tcPr>
            <w:tcW w:type="dxa" w:w="75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1"/>
                <w:szCs w:val="21"/>
              </w:rPr>
              <w:t xml:space="preserve">Reportes visuales semanal, quincenal y mensual con gráficas de barras y torta. Exportables a CSV para análisis adicional.</w:t>
            </w:r>
          </w:p>
        </w:tc>
      </w:tr>
      <w:tr>
        <w:tc>
          <w:tcPr>
            <w:tcW w:type="dxa" w:w="18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1A1A2E"/>
                <w:sz w:val="21"/>
                <w:szCs w:val="21"/>
              </w:rPr>
              <w:t xml:space="preserve">Configuración</w:t>
            </w:r>
          </w:p>
        </w:tc>
        <w:tc>
          <w:tcPr>
            <w:tcW w:type="dxa" w:w="75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1"/>
                <w:szCs w:val="21"/>
              </w:rPr>
              <w:t xml:space="preserve">Configuración del servidor SMTP/IMAP, credenciales, correo de reporte diario y límite de envíos por día.</w:t>
            </w:r>
          </w:p>
        </w:tc>
      </w:tr>
      <w:tr>
        <w:tc>
          <w:tcPr>
            <w:tcW w:type="dxa" w:w="18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1A1A2E"/>
                <w:sz w:val="21"/>
                <w:szCs w:val="21"/>
              </w:rPr>
              <w:t xml:space="preserve">Logs</w:t>
            </w:r>
          </w:p>
        </w:tc>
        <w:tc>
          <w:tcPr>
            <w:tcW w:type="dxa" w:w="75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1"/>
                <w:szCs w:val="21"/>
              </w:rPr>
              <w:t xml:space="preserve">Registro detallado de toda la actividad del sistema: autenticaciones, cargas de Excel, envíos y errores, filtrable por nivel y módulo.</w:t>
            </w:r>
          </w:p>
        </w:tc>
      </w:tr>
    </w:tbl>
    <w:p>
      <w:pPr>
        <w:spacing w:before="120" w:after="100"/>
      </w:pPr>
      <w:r>
        <w:t xml:space="preserve"/>
      </w:r>
    </w:p>
    <w:p>
      <w:pPr>
        <w:pStyle w:val="Heading2"/>
      </w:pPr>
      <w:r>
        <w:rPr>
          <w:rFonts w:ascii="Arial" w:cs="Arial" w:eastAsia="Arial" w:hAnsi="Arial"/>
          <w:b/>
          <w:bCs/>
          <w:i w:val="false"/>
          <w:iCs w:val="false"/>
          <w:color w:val="0D47A1"/>
          <w:sz w:val="28"/>
          <w:szCs w:val="28"/>
        </w:rPr>
        <w:t xml:space="preserve">3.2  Motor de notificaciones</w:t>
      </w:r>
    </w:p>
    <w:p>
      <w:pPr>
        <w:spacing w:before="80" w:after="100" w:line="310"/>
        <w:jc w:val="left"/>
      </w:pPr>
      <w:r>
        <w:rPr>
          <w:rFonts w:ascii="Arial" w:cs="Arial" w:eastAsia="Arial" w:hAnsi="Arial"/>
          <w:b w:val="false"/>
          <w:bCs w:val="false"/>
          <w:i w:val="false"/>
          <w:iCs w:val="false"/>
          <w:color w:val="1A1A2E"/>
          <w:sz w:val="22"/>
          <w:szCs w:val="22"/>
        </w:rPr>
        <w:t xml:space="preserve">El motor es el cerebro del sistema. Cuando se lanza el proceso, realiza los siguientes pasos de forma automática:</w:t>
      </w:r>
    </w:p>
    <w:p>
      <w:pPr>
        <w:pStyle w:val="ListParagraph"/>
        <w:numPr>
          <w:ilvl w:val="0"/>
          <w:numId w:val="3"/>
        </w:numPr>
        <w:spacing w:before="60" w:after="60"/>
      </w:pPr>
      <w:r>
        <w:rPr>
          <w:rFonts w:ascii="Arial" w:cs="Arial" w:eastAsia="Arial" w:hAnsi="Arial"/>
          <w:b w:val="false"/>
          <w:bCs w:val="false"/>
          <w:i w:val="false"/>
          <w:iCs w:val="false"/>
          <w:color w:val="1A1A2E"/>
          <w:sz w:val="22"/>
          <w:szCs w:val="22"/>
        </w:rPr>
        <w:t xml:space="preserve">Lee el archivo Excel y detecta automáticamente la hoja y columnas correctas.</w:t>
      </w:r>
    </w:p>
    <w:p>
      <w:pPr>
        <w:pStyle w:val="ListParagraph"/>
        <w:numPr>
          <w:ilvl w:val="0"/>
          <w:numId w:val="3"/>
        </w:numPr>
        <w:spacing w:before="60" w:after="60"/>
      </w:pPr>
      <w:r>
        <w:rPr>
          <w:rFonts w:ascii="Arial" w:cs="Arial" w:eastAsia="Arial" w:hAnsi="Arial"/>
          <w:b w:val="false"/>
          <w:bCs w:val="false"/>
          <w:i w:val="false"/>
          <w:iCs w:val="false"/>
          <w:color w:val="1A1A2E"/>
          <w:sz w:val="22"/>
          <w:szCs w:val="22"/>
        </w:rPr>
        <w:t xml:space="preserve">Corrige automáticamente fechas con formato invertido (DD/MM vs MM/DD).</w:t>
      </w:r>
    </w:p>
    <w:p>
      <w:pPr>
        <w:pStyle w:val="ListParagraph"/>
        <w:numPr>
          <w:ilvl w:val="0"/>
          <w:numId w:val="3"/>
        </w:numPr>
        <w:spacing w:before="60" w:after="60"/>
      </w:pPr>
      <w:r>
        <w:rPr>
          <w:rFonts w:ascii="Arial" w:cs="Arial" w:eastAsia="Arial" w:hAnsi="Arial"/>
          <w:b w:val="false"/>
          <w:bCs w:val="false"/>
          <w:i w:val="false"/>
          <w:iCs w:val="false"/>
          <w:color w:val="1A1A2E"/>
          <w:sz w:val="22"/>
          <w:szCs w:val="22"/>
        </w:rPr>
        <w:t xml:space="preserve">Agrupa los servicios de un mismo dominio y correo destino.</w:t>
      </w:r>
    </w:p>
    <w:p>
      <w:pPr>
        <w:pStyle w:val="ListParagraph"/>
        <w:numPr>
          <w:ilvl w:val="0"/>
          <w:numId w:val="3"/>
        </w:numPr>
        <w:spacing w:before="60" w:after="60"/>
      </w:pPr>
      <w:r>
        <w:rPr>
          <w:rFonts w:ascii="Arial" w:cs="Arial" w:eastAsia="Arial" w:hAnsi="Arial"/>
          <w:b w:val="false"/>
          <w:bCs w:val="false"/>
          <w:i w:val="false"/>
          <w:iCs w:val="false"/>
          <w:color w:val="1A1A2E"/>
          <w:sz w:val="22"/>
          <w:szCs w:val="22"/>
        </w:rPr>
        <w:t xml:space="preserve">Determina el tipo de alerta: próximo a vencer (0-45 días) o vencido (sin límite de días).</w:t>
      </w:r>
    </w:p>
    <w:p>
      <w:pPr>
        <w:pStyle w:val="ListParagraph"/>
        <w:numPr>
          <w:ilvl w:val="0"/>
          <w:numId w:val="3"/>
        </w:numPr>
        <w:spacing w:before="60" w:after="60"/>
      </w:pPr>
      <w:r>
        <w:rPr>
          <w:rFonts w:ascii="Arial" w:cs="Arial" w:eastAsia="Arial" w:hAnsi="Arial"/>
          <w:b w:val="false"/>
          <w:bCs w:val="false"/>
          <w:i w:val="false"/>
          <w:iCs w:val="false"/>
          <w:color w:val="1A1A2E"/>
          <w:sz w:val="22"/>
          <w:szCs w:val="22"/>
        </w:rPr>
        <w:t xml:space="preserve">Verifica el límite diario de envíos configurado para no superar la cuota.</w:t>
      </w:r>
    </w:p>
    <w:p>
      <w:pPr>
        <w:pStyle w:val="ListParagraph"/>
        <w:numPr>
          <w:ilvl w:val="0"/>
          <w:numId w:val="3"/>
        </w:numPr>
        <w:spacing w:before="60" w:after="60"/>
      </w:pPr>
      <w:r>
        <w:rPr>
          <w:rFonts w:ascii="Arial" w:cs="Arial" w:eastAsia="Arial" w:hAnsi="Arial"/>
          <w:b w:val="false"/>
          <w:bCs w:val="false"/>
          <w:i w:val="false"/>
          <w:iCs w:val="false"/>
          <w:color w:val="1A1A2E"/>
          <w:sz w:val="22"/>
          <w:szCs w:val="22"/>
        </w:rPr>
        <w:t xml:space="preserve">Envía el correo personalizado con la plantilla correspondiente (próximo o vencido).</w:t>
      </w:r>
    </w:p>
    <w:p>
      <w:pPr>
        <w:pStyle w:val="ListParagraph"/>
        <w:numPr>
          <w:ilvl w:val="0"/>
          <w:numId w:val="3"/>
        </w:numPr>
        <w:spacing w:before="60" w:after="60"/>
      </w:pPr>
      <w:r>
        <w:rPr>
          <w:rFonts w:ascii="Arial" w:cs="Arial" w:eastAsia="Arial" w:hAnsi="Arial"/>
          <w:b w:val="false"/>
          <w:bCs w:val="false"/>
          <w:i w:val="false"/>
          <w:iCs w:val="false"/>
          <w:color w:val="1A1A2E"/>
          <w:sz w:val="22"/>
          <w:szCs w:val="22"/>
        </w:rPr>
        <w:t xml:space="preserve">Guarda copia automática en la carpeta Enviados del buzón (via IMAP).</w:t>
      </w:r>
    </w:p>
    <w:p>
      <w:pPr>
        <w:pStyle w:val="ListParagraph"/>
        <w:numPr>
          <w:ilvl w:val="0"/>
          <w:numId w:val="3"/>
        </w:numPr>
        <w:spacing w:before="60" w:after="60"/>
      </w:pPr>
      <w:r>
        <w:rPr>
          <w:rFonts w:ascii="Arial" w:cs="Arial" w:eastAsia="Arial" w:hAnsi="Arial"/>
          <w:b w:val="false"/>
          <w:bCs w:val="false"/>
          <w:i w:val="false"/>
          <w:iCs w:val="false"/>
          <w:color w:val="1A1A2E"/>
          <w:sz w:val="22"/>
          <w:szCs w:val="22"/>
        </w:rPr>
        <w:t xml:space="preserve">Registra cada envío en la base de datos para el historial y anti-duplicados.</w:t>
      </w:r>
    </w:p>
    <w:p>
      <w:pPr>
        <w:pStyle w:val="ListParagraph"/>
        <w:numPr>
          <w:ilvl w:val="0"/>
          <w:numId w:val="3"/>
        </w:numPr>
        <w:spacing w:before="60" w:after="60"/>
      </w:pPr>
      <w:r>
        <w:rPr>
          <w:rFonts w:ascii="Arial" w:cs="Arial" w:eastAsia="Arial" w:hAnsi="Arial"/>
          <w:b w:val="false"/>
          <w:bCs w:val="false"/>
          <w:i w:val="false"/>
          <w:iCs w:val="false"/>
          <w:color w:val="1A1A2E"/>
          <w:sz w:val="22"/>
          <w:szCs w:val="22"/>
        </w:rPr>
        <w:t xml:space="preserve">Al finalizar, envía un reporte resumen al correo paula@mi.com.co con el log completo.</w:t>
      </w:r>
    </w:p>
    <w:p>
      <w:pPr>
        <w:spacing w:before="120" w:after="100"/>
      </w:pPr>
      <w:r>
        <w:t xml:space="preserve"/>
      </w:r>
    </w:p>
    <w:p>
      <w:pPr>
        <w:pStyle w:val="Heading1"/>
      </w:pPr>
      <w:r>
        <w:rPr>
          <w:rFonts w:ascii="Arial" w:cs="Arial" w:eastAsia="Arial" w:hAnsi="Arial"/>
          <w:b/>
          <w:bCs/>
          <w:i w:val="false"/>
          <w:iCs w:val="false"/>
          <w:color w:val="0D47A1"/>
          <w:sz w:val="36"/>
          <w:szCs w:val="36"/>
        </w:rPr>
        <w:t xml:space="preserve">4. Funcionalidad destacada: correos agrupados</w:t>
      </w:r>
    </w:p>
    <w:p>
      <w:pPr>
        <w:pBdr>
          <w:bottom w:val="single" w:color="0D47A1" w:sz="8" w:space="1"/>
        </w:pBdr>
        <w:spacing w:before="160" w:after="160"/>
      </w:pPr>
      <w:r>
        <w:t xml:space="preserve"/>
      </w:r>
    </w:p>
    <w:p>
      <w:pPr>
        <w:spacing w:before="80" w:after="120" w:line="310"/>
        <w:jc w:val="left"/>
      </w:pPr>
      <w:r>
        <w:rPr>
          <w:rFonts w:ascii="Arial" w:cs="Arial" w:eastAsia="Arial" w:hAnsi="Arial"/>
          <w:b w:val="false"/>
          <w:bCs w:val="false"/>
          <w:i w:val="false"/>
          <w:iCs w:val="false"/>
          <w:color w:val="1A1A2E"/>
          <w:sz w:val="22"/>
          <w:szCs w:val="22"/>
        </w:rPr>
        <w:t xml:space="preserve">Una de las mejoras más significativas del sistema es la agrupación inteligente de correos. Antes, si un cliente tenía 3 servicios distintos por renovar, recibía 3 correos separados, lo que generaba confusión y podía parecer spam. Ahora el sistema detecta esto y envía un único correo con todos los servicios en una tabla clara.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71C1C" w:sz="4"/>
              <w:left w:val="single" w:color="B71C1C" w:sz="4"/>
              <w:bottom w:val="single" w:color="B71C1C" w:sz="4"/>
              <w:right w:val="single" w:color="B71C1C" w:sz="4"/>
            </w:tcBorders>
            <w:shd w:fill="B71C1C"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FFFFFF"/>
                <w:sz w:val="20"/>
                <w:szCs w:val="20"/>
              </w:rPr>
              <w:t xml:space="preserve">Sin agrupación (versión anterior)</w:t>
            </w:r>
          </w:p>
        </w:tc>
        <w:tc>
          <w:tcPr>
            <w:tcW w:type="dxa" w:w="4680"/>
            <w:tcBorders>
              <w:top w:val="single" w:color="0D47A1" w:sz="4"/>
              <w:left w:val="single" w:color="0D47A1" w:sz="4"/>
              <w:bottom w:val="single" w:color="0D47A1" w:sz="4"/>
              <w:right w:val="single" w:color="0D47A1" w:sz="4"/>
            </w:tcBorders>
            <w:shd w:fill="0D47A1"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FFFFFF"/>
                <w:sz w:val="20"/>
                <w:szCs w:val="20"/>
              </w:rPr>
              <w:t xml:space="preserve">Con agrupación (versión actual)</w:t>
            </w:r>
          </w:p>
        </w:tc>
      </w:tr>
      <w:tr>
        <w:tc>
          <w:tcPr>
            <w:tcW w:type="dxa" w:w="4680"/>
            <w:tcBorders>
              <w:top w:val="single" w:color="CCCCCC" w:sz="4"/>
              <w:left w:val="single" w:color="CCCCCC" w:sz="4"/>
              <w:bottom w:val="single" w:color="CCCCCC" w:sz="4"/>
              <w:right w:val="single" w:color="CCCCCC" w:sz="4"/>
            </w:tcBorders>
            <w:shd w:fill="FFEBEE"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1A1A2E"/>
                <w:sz w:val="21"/>
                <w:szCs w:val="21"/>
              </w:rPr>
              <w:t xml:space="preserve">El cliente "empresa.com" recibe:</w:t>
            </w:r>
          </w:p>
          <w:p>
            <w:pPr>
              <w:pStyle w:val="ListParagraph"/>
              <w:numPr>
                <w:ilvl w:val="0"/>
                <w:numId w:val="2"/>
              </w:numPr>
              <w:spacing w:before="60" w:after="60" w:line="276"/>
            </w:pPr>
            <w:r>
              <w:rPr>
                <w:rFonts w:ascii="Arial" w:cs="Arial" w:eastAsia="Arial" w:hAnsi="Arial"/>
                <w:b w:val="false"/>
                <w:bCs w:val="false"/>
                <w:color w:val="1A1A2E"/>
                <w:sz w:val="21"/>
                <w:szCs w:val="21"/>
              </w:rPr>
              <w:t xml:space="preserve">Correo 1: "Correo próximo a vencer"</w:t>
            </w:r>
          </w:p>
          <w:p>
            <w:pPr>
              <w:pStyle w:val="ListParagraph"/>
              <w:numPr>
                <w:ilvl w:val="0"/>
                <w:numId w:val="2"/>
              </w:numPr>
              <w:spacing w:before="60" w:after="60" w:line="276"/>
            </w:pPr>
            <w:r>
              <w:rPr>
                <w:rFonts w:ascii="Arial" w:cs="Arial" w:eastAsia="Arial" w:hAnsi="Arial"/>
                <w:b w:val="false"/>
                <w:bCs w:val="false"/>
                <w:color w:val="1A1A2E"/>
                <w:sz w:val="21"/>
                <w:szCs w:val="21"/>
              </w:rPr>
              <w:t xml:space="preserve">Correo 2: "Hosting próximo a vencer"</w:t>
            </w:r>
          </w:p>
          <w:p>
            <w:pPr>
              <w:pStyle w:val="ListParagraph"/>
              <w:numPr>
                <w:ilvl w:val="0"/>
                <w:numId w:val="2"/>
              </w:numPr>
              <w:spacing w:before="60" w:after="60" w:line="276"/>
            </w:pPr>
            <w:r>
              <w:rPr>
                <w:rFonts w:ascii="Arial" w:cs="Arial" w:eastAsia="Arial" w:hAnsi="Arial"/>
                <w:b w:val="false"/>
                <w:bCs w:val="false"/>
                <w:color w:val="1A1A2E"/>
                <w:sz w:val="21"/>
                <w:szCs w:val="21"/>
              </w:rPr>
              <w:t xml:space="preserve">Correo 3: "SSL próximo a vencer"</w:t>
            </w:r>
          </w:p>
          <w:p>
            <w:pPr>
              <w:spacing w:before="80" w:after="80" w:line="276"/>
              <w:jc w:val="left"/>
            </w:pPr>
            <w:r>
              <w:rPr>
                <w:rFonts w:ascii="Arial" w:cs="Arial" w:eastAsia="Arial" w:hAnsi="Arial"/>
                <w:b w:val="false"/>
                <w:bCs w:val="false"/>
                <w:i/>
                <w:iCs/>
                <w:color w:val="B71C1C"/>
                <w:sz w:val="21"/>
                <w:szCs w:val="21"/>
              </w:rPr>
              <w:t xml:space="preserve">→ 3 correos separados, posible spam</w:t>
            </w:r>
          </w:p>
        </w:tc>
        <w:tc>
          <w:tcPr>
            <w:tcW w:type="dxa" w:w="4680"/>
            <w:tcBorders>
              <w:top w:val="single" w:color="CCCCCC" w:sz="4"/>
              <w:left w:val="single" w:color="CCCCCC" w:sz="4"/>
              <w:bottom w:val="single" w:color="CCCCCC" w:sz="4"/>
              <w:right w:val="single" w:color="CCCCCC" w:sz="4"/>
            </w:tcBorders>
            <w:shd w:fill="E8F5E9"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1A1A2E"/>
                <w:sz w:val="21"/>
                <w:szCs w:val="21"/>
              </w:rPr>
              <w:t xml:space="preserve">El cliente "empresa.com" recibe:</w:t>
            </w:r>
          </w:p>
          <w:p>
            <w:pPr>
              <w:pStyle w:val="ListParagraph"/>
              <w:numPr>
                <w:ilvl w:val="0"/>
                <w:numId w:val="2"/>
              </w:numPr>
              <w:spacing w:before="60" w:after="60" w:line="276"/>
            </w:pPr>
            <w:r>
              <w:rPr>
                <w:rFonts w:ascii="Arial" w:cs="Arial" w:eastAsia="Arial" w:hAnsi="Arial"/>
                <w:b w:val="false"/>
                <w:bCs w:val="false"/>
                <w:color w:val="1A1A2E"/>
                <w:sz w:val="21"/>
                <w:szCs w:val="21"/>
              </w:rPr>
              <w:t xml:space="preserve">1 solo correo con tabla de los 3 servicios</w:t>
            </w:r>
          </w:p>
          <w:p>
            <w:pPr>
              <w:pStyle w:val="ListParagraph"/>
              <w:numPr>
                <w:ilvl w:val="0"/>
                <w:numId w:val="2"/>
              </w:numPr>
              <w:spacing w:before="60" w:after="60" w:line="276"/>
            </w:pPr>
            <w:r>
              <w:rPr>
                <w:rFonts w:ascii="Arial" w:cs="Arial" w:eastAsia="Arial" w:hAnsi="Arial"/>
                <w:b w:val="false"/>
                <w:bCs w:val="false"/>
                <w:color w:val="1A1A2E"/>
                <w:sz w:val="21"/>
                <w:szCs w:val="21"/>
              </w:rPr>
              <w:t xml:space="preserve">Estado de cada servicio en color</w:t>
            </w:r>
          </w:p>
          <w:p>
            <w:pPr>
              <w:pStyle w:val="ListParagraph"/>
              <w:numPr>
                <w:ilvl w:val="0"/>
                <w:numId w:val="2"/>
              </w:numPr>
              <w:spacing w:before="60" w:after="60" w:line="276"/>
            </w:pPr>
            <w:r>
              <w:rPr>
                <w:rFonts w:ascii="Arial" w:cs="Arial" w:eastAsia="Arial" w:hAnsi="Arial"/>
                <w:b w:val="false"/>
                <w:bCs w:val="false"/>
                <w:color w:val="1A1A2E"/>
                <w:sz w:val="21"/>
                <w:szCs w:val="21"/>
              </w:rPr>
              <w:t xml:space="preserve">Un único botón de renovación</w:t>
            </w:r>
          </w:p>
          <w:p>
            <w:pPr>
              <w:spacing w:before="80" w:after="80" w:line="276"/>
              <w:jc w:val="left"/>
            </w:pPr>
            <w:r>
              <w:rPr>
                <w:rFonts w:ascii="Arial" w:cs="Arial" w:eastAsia="Arial" w:hAnsi="Arial"/>
                <w:b w:val="false"/>
                <w:bCs w:val="false"/>
                <w:i/>
                <w:iCs/>
                <w:color w:val="1B5E20"/>
                <w:sz w:val="21"/>
                <w:szCs w:val="21"/>
              </w:rPr>
              <w:t xml:space="preserve">→ 1 correo, experiencia profesional</w:t>
            </w:r>
          </w:p>
        </w:tc>
      </w:tr>
    </w:tbl>
    <w:p>
      <w:pPr>
        <w:spacing w:before="8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8"/>
              <w:left w:val="single" w:color="0D47A1" w:sz="8"/>
              <w:bottom w:val="single" w:color="0D47A1" w:sz="4"/>
              <w:right w:val="single" w:color="0D47A1" w:sz="4"/>
            </w:tcBorders>
            <w:shd w:fill="E3EAF4" w:val="clear"/>
            <w:tcMar>
              <w:top w:type="dxa" w:w="100"/>
              <w:left w:type="dxa" w:w="150"/>
              <w:bottom w:type="dxa" w:w="100"/>
              <w:right w:type="dxa" w:w="150"/>
            </w:tcMar>
            <w:vAlign w:val="center"/>
          </w:tcPr>
          <w:p>
            <w:pPr>
              <w:spacing w:before="0" w:after="80" w:line="276"/>
              <w:jc w:val="left"/>
            </w:pPr>
            <w:r>
              <w:rPr>
                <w:rFonts w:ascii="Arial" w:cs="Arial" w:eastAsia="Arial" w:hAnsi="Arial"/>
                <w:b/>
                <w:bCs/>
                <w:i w:val="false"/>
                <w:iCs w:val="false"/>
                <w:color w:val="0D47A1"/>
                <w:sz w:val="22"/>
                <w:szCs w:val="22"/>
              </w:rPr>
              <w:t xml:space="preserve">📌  Criterio de agrupación</w:t>
            </w:r>
          </w:p>
          <w:p>
            <w:pPr>
              <w:spacing w:before="40" w:after="40" w:line="276"/>
              <w:jc w:val="left"/>
            </w:pPr>
            <w:r>
              <w:rPr>
                <w:rFonts w:ascii="Arial" w:cs="Arial" w:eastAsia="Arial" w:hAnsi="Arial"/>
                <w:b w:val="false"/>
                <w:bCs w:val="false"/>
                <w:i w:val="false"/>
                <w:iCs w:val="false"/>
                <w:color w:val="0D47A1"/>
                <w:sz w:val="21"/>
                <w:szCs w:val="21"/>
              </w:rPr>
              <w:t xml:space="preserve">El sistema agrupa todos los servicios que comparten exactamente el mismo dominio Y el mismo correo destinatario. Si dos servicios del mismo dominio tienen correos distintos, se envían por separado.</w:t>
            </w:r>
          </w:p>
          <w:p>
            <w:pPr>
              <w:spacing w:before="40" w:after="40" w:line="276"/>
              <w:jc w:val="left"/>
            </w:pPr>
            <w:r>
              <w:rPr>
                <w:rFonts w:ascii="Arial" w:cs="Arial" w:eastAsia="Arial" w:hAnsi="Arial"/>
                <w:b w:val="false"/>
                <w:bCs w:val="false"/>
                <w:i w:val="false"/>
                <w:iCs w:val="false"/>
                <w:color w:val="0D47A1"/>
                <w:sz w:val="21"/>
                <w:szCs w:val="21"/>
              </w:rPr>
              <w:t xml:space="preserve">Esto garantiza que cada cliente recibe solo la información que le corresponde, en un único mensaje ordenado y profesional.</w:t>
            </w:r>
          </w:p>
        </w:tc>
      </w:tr>
    </w:tbl>
    <w:p>
      <w:pPr>
        <w:spacing w:before="120" w:after="100"/>
      </w:pPr>
      <w:r>
        <w:t xml:space="preserve"/>
      </w:r>
    </w:p>
    <w:p>
      <w:pPr>
        <w:pStyle w:val="Heading1"/>
      </w:pPr>
      <w:r>
        <w:rPr>
          <w:rFonts w:ascii="Arial" w:cs="Arial" w:eastAsia="Arial" w:hAnsi="Arial"/>
          <w:b/>
          <w:bCs/>
          <w:i w:val="false"/>
          <w:iCs w:val="false"/>
          <w:color w:val="0D47A1"/>
          <w:sz w:val="36"/>
          <w:szCs w:val="36"/>
        </w:rPr>
        <w:t xml:space="preserve">5. Plantillas de correo</w:t>
      </w:r>
    </w:p>
    <w:p>
      <w:pPr>
        <w:pBdr>
          <w:bottom w:val="single" w:color="0D47A1" w:sz="8" w:space="1"/>
        </w:pBdr>
        <w:spacing w:before="160" w:after="160"/>
      </w:pPr>
      <w:r>
        <w:t xml:space="preserve"/>
      </w:r>
    </w:p>
    <w:p>
      <w:pPr>
        <w:spacing w:before="80" w:after="120" w:line="310"/>
        <w:jc w:val="left"/>
      </w:pPr>
      <w:r>
        <w:rPr>
          <w:rFonts w:ascii="Arial" w:cs="Arial" w:eastAsia="Arial" w:hAnsi="Arial"/>
          <w:b w:val="false"/>
          <w:bCs w:val="false"/>
          <w:i w:val="false"/>
          <w:iCs w:val="false"/>
          <w:color w:val="1A1A2E"/>
          <w:sz w:val="22"/>
          <w:szCs w:val="22"/>
        </w:rPr>
        <w:t xml:space="preserve">El sistema cuenta con tres plantillas HTML profesionales, diseñadas para ser compatibles con todos los clientes de correo (Gmail, Hotmail, Outlook, Roundcube, Webmail) sin que el diseño se rompa.</w:t>
      </w:r>
    </w:p>
    <w:p>
      <w:pPr>
        <w:pStyle w:val="Heading3"/>
      </w:pPr>
      <w:r>
        <w:rPr>
          <w:rFonts w:ascii="Arial" w:cs="Arial" w:eastAsia="Arial" w:hAnsi="Arial"/>
          <w:b/>
          <w:bCs/>
          <w:i w:val="false"/>
          <w:iCs w:val="false"/>
          <w:color w:val="FF6D00"/>
          <w:sz w:val="24"/>
          <w:szCs w:val="24"/>
        </w:rPr>
        <w:t xml:space="preserve">Plantilla 1 — Próximo a vencer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1A1A2E"/>
                <w:sz w:val="21"/>
                <w:szCs w:val="21"/>
              </w:rPr>
              <w:t xml:space="preserve">Color</w:t>
            </w:r>
          </w:p>
        </w:tc>
        <w:tc>
          <w:tcPr>
            <w:tcW w:type="dxa" w:w="73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1"/>
                <w:szCs w:val="21"/>
              </w:rPr>
              <w:t xml:space="preserve">Varía según urgencia: azul (45 días), amarillo (30 días), naranja (20 días), rojo (10 días), rojo intenso (5 días o menos)</w:t>
            </w:r>
          </w:p>
        </w:tc>
      </w:tr>
      <w:tr>
        <w:tc>
          <w:tcPr>
            <w:tcW w:type="dxa" w:w="20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1A1A2E"/>
                <w:sz w:val="21"/>
                <w:szCs w:val="21"/>
              </w:rPr>
              <w:t xml:space="preserve">Contenido</w:t>
            </w:r>
          </w:p>
        </w:tc>
        <w:tc>
          <w:tcPr>
            <w:tcW w:type="dxa" w:w="73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1"/>
                <w:szCs w:val="21"/>
              </w:rPr>
              <w:t xml:space="preserve">Contador de días restantes en grande, detalle del servicio (dominio, servicio, fecha de vencimiento), botón directo de renovación</w:t>
            </w:r>
          </w:p>
        </w:tc>
      </w:tr>
      <w:tr>
        <w:tc>
          <w:tcPr>
            <w:tcW w:type="dxa" w:w="20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1A1A2E"/>
                <w:sz w:val="21"/>
                <w:szCs w:val="21"/>
              </w:rPr>
              <w:t xml:space="preserve">Número alerta</w:t>
            </w:r>
          </w:p>
        </w:tc>
        <w:tc>
          <w:tcPr>
            <w:tcW w:type="dxa" w:w="73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1"/>
                <w:szCs w:val="21"/>
              </w:rPr>
              <w:t xml:space="preserve">Muestra "Alerta X/5" para que el cliente sepa en qué notificación va</w:t>
            </w:r>
          </w:p>
        </w:tc>
      </w:tr>
    </w:tbl>
    <w:p>
      <w:pPr>
        <w:spacing w:before="80" w:after="100"/>
      </w:pPr>
      <w:r>
        <w:t xml:space="preserve"/>
      </w:r>
    </w:p>
    <w:p>
      <w:pPr>
        <w:pStyle w:val="Heading3"/>
      </w:pPr>
      <w:r>
        <w:rPr>
          <w:rFonts w:ascii="Arial" w:cs="Arial" w:eastAsia="Arial" w:hAnsi="Arial"/>
          <w:b/>
          <w:bCs/>
          <w:i w:val="false"/>
          <w:iCs w:val="false"/>
          <w:color w:val="B71C1C"/>
          <w:sz w:val="24"/>
          <w:szCs w:val="24"/>
        </w:rPr>
        <w:t xml:space="preserve">Plantilla 2 — Servicio vencido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1A1A2E"/>
                <w:sz w:val="21"/>
                <w:szCs w:val="21"/>
              </w:rPr>
              <w:t xml:space="preserve">Color</w:t>
            </w:r>
          </w:p>
        </w:tc>
        <w:tc>
          <w:tcPr>
            <w:tcW w:type="dxa" w:w="73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1"/>
                <w:szCs w:val="21"/>
              </w:rPr>
              <w:t xml:space="preserve">Rojo — indica urgencia máxima, el servicio ya está vencido</w:t>
            </w:r>
          </w:p>
        </w:tc>
      </w:tr>
      <w:tr>
        <w:tc>
          <w:tcPr>
            <w:tcW w:type="dxa" w:w="20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1A1A2E"/>
                <w:sz w:val="21"/>
                <w:szCs w:val="21"/>
              </w:rPr>
              <w:t xml:space="preserve">Contenido</w:t>
            </w:r>
          </w:p>
        </w:tc>
        <w:tc>
          <w:tcPr>
            <w:tcW w:type="dxa" w:w="73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1"/>
                <w:szCs w:val="21"/>
              </w:rPr>
              <w:t xml:space="preserve">Círculo rojo con los días vencidos, barra de progreso, detalle del servicio, aviso de posible suspensión y fecha límite de notificaciones</w:t>
            </w:r>
          </w:p>
        </w:tc>
      </w:tr>
      <w:tr>
        <w:tc>
          <w:tcPr>
            <w:tcW w:type="dxa" w:w="20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1A1A2E"/>
                <w:sz w:val="21"/>
                <w:szCs w:val="21"/>
              </w:rPr>
              <w:t xml:space="preserve">Frecuencia</w:t>
            </w:r>
          </w:p>
        </w:tc>
        <w:tc>
          <w:tcPr>
            <w:tcW w:type="dxa" w:w="73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1"/>
                <w:szCs w:val="21"/>
              </w:rPr>
              <w:t xml:space="preserve">Se envía cada vez que se lanza el proceso mientras el servicio esté vencido (sin límite de días)</w:t>
            </w:r>
          </w:p>
        </w:tc>
      </w:tr>
    </w:tbl>
    <w:p>
      <w:pPr>
        <w:spacing w:before="80" w:after="100"/>
      </w:pPr>
      <w:r>
        <w:t xml:space="preserve"/>
      </w:r>
    </w:p>
    <w:p>
      <w:pPr>
        <w:pStyle w:val="Heading3"/>
      </w:pPr>
      <w:r>
        <w:rPr>
          <w:rFonts w:ascii="Arial" w:cs="Arial" w:eastAsia="Arial" w:hAnsi="Arial"/>
          <w:b/>
          <w:bCs/>
          <w:i w:val="false"/>
          <w:iCs w:val="false"/>
          <w:color w:val="1976D2"/>
          <w:sz w:val="24"/>
          <w:szCs w:val="24"/>
        </w:rPr>
        <w:t xml:space="preserve">Plantilla 3 — Múltiples servicios (agrupada)</w:t>
      </w:r>
    </w:p>
    <w:p>
      <w:pPr>
        <w:spacing w:before="80" w:after="80" w:line="310"/>
        <w:jc w:val="left"/>
      </w:pPr>
      <w:r>
        <w:rPr>
          <w:rFonts w:ascii="Arial" w:cs="Arial" w:eastAsia="Arial" w:hAnsi="Arial"/>
          <w:b w:val="false"/>
          <w:bCs w:val="false"/>
          <w:i w:val="false"/>
          <w:iCs w:val="false"/>
          <w:color w:val="1A1A2E"/>
          <w:sz w:val="21"/>
          <w:szCs w:val="21"/>
        </w:rPr>
        <w:t xml:space="preserve">Cuando un cliente tiene dos o más servicios a notificar, se genera automáticamente un correo con fondo azul corporativo, tabla con todos los servicios, colores de estado por fila y un único botón de renovación.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8"/>
              <w:left w:val="single" w:color="0D47A1" w:sz="8"/>
              <w:bottom w:val="single" w:color="0D47A1" w:sz="4"/>
              <w:right w:val="single" w:color="0D47A1" w:sz="4"/>
            </w:tcBorders>
            <w:shd w:fill="E3EAF4" w:val="clear"/>
            <w:tcMar>
              <w:top w:type="dxa" w:w="100"/>
              <w:left w:type="dxa" w:w="150"/>
              <w:bottom w:type="dxa" w:w="100"/>
              <w:right w:type="dxa" w:w="150"/>
            </w:tcMar>
            <w:vAlign w:val="center"/>
          </w:tcPr>
          <w:p>
            <w:pPr>
              <w:spacing w:before="0" w:after="80" w:line="276"/>
              <w:jc w:val="left"/>
            </w:pPr>
            <w:r>
              <w:rPr>
                <w:rFonts w:ascii="Arial" w:cs="Arial" w:eastAsia="Arial" w:hAnsi="Arial"/>
                <w:b/>
                <w:bCs/>
                <w:i w:val="false"/>
                <w:iCs w:val="false"/>
                <w:color w:val="0D47A1"/>
                <w:sz w:val="22"/>
                <w:szCs w:val="22"/>
              </w:rPr>
              <w:t xml:space="preserve">🎨  Compatibilidad cross-browser</w:t>
            </w:r>
          </w:p>
          <w:p>
            <w:pPr>
              <w:spacing w:before="40" w:after="40" w:line="276"/>
              <w:jc w:val="left"/>
            </w:pPr>
            <w:r>
              <w:rPr>
                <w:rFonts w:ascii="Arial" w:cs="Arial" w:eastAsia="Arial" w:hAnsi="Arial"/>
                <w:b w:val="false"/>
                <w:bCs w:val="false"/>
                <w:i w:val="false"/>
                <w:iCs w:val="false"/>
                <w:color w:val="0D47A1"/>
                <w:sz w:val="21"/>
                <w:szCs w:val="21"/>
              </w:rPr>
              <w:t xml:space="preserve">Las tres plantillas están construidas con tablas HTML anidadas y estilos inline únicamente, técnica estándar para email. Esto garantiza que se vean correctamente en Gmail, Hotmail, Outlook, Apple Mail, Roundcube y webmail.mi.com.co.</w:t>
            </w:r>
          </w:p>
          <w:p>
            <w:pPr>
              <w:spacing w:before="40" w:after="40" w:line="276"/>
              <w:jc w:val="left"/>
            </w:pPr>
            <w:r>
              <w:rPr>
                <w:rFonts w:ascii="Arial" w:cs="Arial" w:eastAsia="Arial" w:hAnsi="Arial"/>
                <w:b w:val="false"/>
                <w:bCs w:val="false"/>
                <w:i w:val="false"/>
                <w:iCs w:val="false"/>
                <w:color w:val="0D47A1"/>
                <w:sz w:val="21"/>
                <w:szCs w:val="21"/>
              </w:rPr>
              <w:t xml:space="preserve">No utilizan flexbox, CSS grid ni variables CSS — las tecnologías que causaban que el diseño se rompiese en ciertos clientes de correo.</w:t>
            </w:r>
          </w:p>
        </w:tc>
      </w:tr>
    </w:tbl>
    <w:p>
      <w:pPr>
        <w:spacing w:before="120" w:after="100"/>
      </w:pPr>
      <w:r>
        <w:t xml:space="preserve"/>
      </w:r>
    </w:p>
    <w:p>
      <w:pPr>
        <w:pStyle w:val="Heading1"/>
      </w:pPr>
      <w:r>
        <w:rPr>
          <w:rFonts w:ascii="Arial" w:cs="Arial" w:eastAsia="Arial" w:hAnsi="Arial"/>
          <w:b/>
          <w:bCs/>
          <w:i w:val="false"/>
          <w:iCs w:val="false"/>
          <w:color w:val="0D47A1"/>
          <w:sz w:val="36"/>
          <w:szCs w:val="36"/>
        </w:rPr>
        <w:t xml:space="preserve">6. Evolución del sistema durante las pruebas</w:t>
      </w:r>
    </w:p>
    <w:p>
      <w:pPr>
        <w:pBdr>
          <w:bottom w:val="single" w:color="0D47A1" w:sz="8" w:space="1"/>
        </w:pBdr>
        <w:spacing w:before="160" w:after="160"/>
      </w:pPr>
      <w:r>
        <w:t xml:space="preserve"/>
      </w:r>
    </w:p>
    <w:p>
      <w:pPr>
        <w:spacing w:before="80" w:after="120" w:line="310"/>
        <w:jc w:val="left"/>
      </w:pPr>
      <w:r>
        <w:rPr>
          <w:rFonts w:ascii="Arial" w:cs="Arial" w:eastAsia="Arial" w:hAnsi="Arial"/>
          <w:b w:val="false"/>
          <w:bCs w:val="false"/>
          <w:i w:val="false"/>
          <w:iCs w:val="false"/>
          <w:color w:val="1A1A2E"/>
          <w:sz w:val="22"/>
          <w:szCs w:val="22"/>
        </w:rPr>
        <w:t xml:space="preserve">El sistema se fue perfeccionando iterativamente a medida que se realizaban pruebas reales con archivos de producción. Cada problema encontrado se convirtió en una mejora concreta.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3300"/>
        <w:gridCol w:w="3560"/>
      </w:tblGrid>
      <w:tr>
        <w:tc>
          <w:tcPr>
            <w:tcW w:type="dxa" w:w="300"/>
            <w:tcBorders>
              <w:top w:val="single" w:color="0D47A1" w:sz="4"/>
              <w:left w:val="single" w:color="0D47A1" w:sz="4"/>
              <w:bottom w:val="single" w:color="0D47A1" w:sz="4"/>
              <w:right w:val="single" w:color="0D47A1" w:sz="4"/>
            </w:tcBorders>
            <w:shd w:fill="0D47A1" w:val="clear"/>
            <w:tcMar>
              <w:top w:type="dxa" w:w="100"/>
              <w:left w:type="dxa" w:w="150"/>
              <w:bottom w:type="dxa" w:w="100"/>
              <w:right w:type="dxa" w:w="150"/>
            </w:tcMar>
            <w:vAlign w:val="center"/>
          </w:tcPr>
          <w:p>
            <w:pPr>
              <w:spacing w:before="80" w:after="80" w:line="276"/>
              <w:jc w:val="center"/>
            </w:pPr>
            <w:r>
              <w:rPr>
                <w:rFonts w:ascii="Arial" w:cs="Arial" w:eastAsia="Arial" w:hAnsi="Arial"/>
                <w:b/>
                <w:bCs/>
                <w:i w:val="false"/>
                <w:iCs w:val="false"/>
                <w:color w:val="FFFFFF"/>
                <w:sz w:val="19"/>
                <w:szCs w:val="19"/>
              </w:rPr>
              <w:t xml:space="preserve">#</w:t>
            </w:r>
          </w:p>
        </w:tc>
        <w:tc>
          <w:tcPr>
            <w:tcW w:type="dxa" w:w="2200"/>
            <w:tcBorders>
              <w:top w:val="single" w:color="0D47A1" w:sz="4"/>
              <w:left w:val="single" w:color="0D47A1" w:sz="4"/>
              <w:bottom w:val="single" w:color="0D47A1" w:sz="4"/>
              <w:right w:val="single" w:color="0D47A1" w:sz="4"/>
            </w:tcBorders>
            <w:shd w:fill="0D47A1"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FFFFFF"/>
                <w:sz w:val="19"/>
                <w:szCs w:val="19"/>
              </w:rPr>
              <w:t xml:space="preserve">Problema detectado</w:t>
            </w:r>
          </w:p>
        </w:tc>
        <w:tc>
          <w:tcPr>
            <w:tcW w:type="dxa" w:w="3300"/>
            <w:tcBorders>
              <w:top w:val="single" w:color="0D47A1" w:sz="4"/>
              <w:left w:val="single" w:color="0D47A1" w:sz="4"/>
              <w:bottom w:val="single" w:color="0D47A1" w:sz="4"/>
              <w:right w:val="single" w:color="0D47A1" w:sz="4"/>
            </w:tcBorders>
            <w:shd w:fill="0D47A1"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FFFFFF"/>
                <w:sz w:val="19"/>
                <w:szCs w:val="19"/>
              </w:rPr>
              <w:t xml:space="preserve">Causa</w:t>
            </w:r>
          </w:p>
        </w:tc>
        <w:tc>
          <w:tcPr>
            <w:tcW w:type="dxa" w:w="3560"/>
            <w:tcBorders>
              <w:top w:val="single" w:color="0D47A1" w:sz="4"/>
              <w:left w:val="single" w:color="0D47A1" w:sz="4"/>
              <w:bottom w:val="single" w:color="0D47A1" w:sz="4"/>
              <w:right w:val="single" w:color="0D47A1" w:sz="4"/>
            </w:tcBorders>
            <w:shd w:fill="0D47A1"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FFFFFF"/>
                <w:sz w:val="19"/>
                <w:szCs w:val="19"/>
              </w:rPr>
              <w:t xml:space="preserve">Solución aplicada</w:t>
            </w:r>
          </w:p>
        </w:tc>
      </w:tr>
      <w:tr>
        <w:tc>
          <w:tcPr>
            <w:tcW w:type="dxa" w:w="3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center"/>
            </w:pPr>
            <w:r>
              <w:rPr>
                <w:rFonts w:ascii="Arial" w:cs="Arial" w:eastAsia="Arial" w:hAnsi="Arial"/>
                <w:b w:val="false"/>
                <w:bCs w:val="false"/>
                <w:i w:val="false"/>
                <w:iCs w:val="false"/>
                <w:color w:val="1A1A2E"/>
                <w:sz w:val="21"/>
                <w:szCs w:val="21"/>
              </w:rPr>
              <w:t xml:space="preserve">1</w:t>
            </w:r>
          </w:p>
        </w:tc>
        <w:tc>
          <w:tcPr>
            <w:tcW w:type="dxa" w:w="22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0"/>
                <w:szCs w:val="20"/>
              </w:rPr>
              <w:t xml:space="preserve">Error "Worksheet Vencimiento not found"</w:t>
            </w:r>
          </w:p>
        </w:tc>
        <w:tc>
          <w:tcPr>
            <w:tcW w:type="dxa" w:w="33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0"/>
                <w:szCs w:val="20"/>
              </w:rPr>
              <w:t xml:space="preserve">El código buscaba el nombre de hoja de forma exacta y estricta</w:t>
            </w:r>
          </w:p>
        </w:tc>
        <w:tc>
          <w:tcPr>
            <w:tcW w:type="dxa" w:w="35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0"/>
                <w:szCs w:val="20"/>
              </w:rPr>
              <w:t xml:space="preserve">Detección automática por contenido: evalúa columnas de cada hoja y elige la que tenga Dominio + Vencimiento</w:t>
            </w:r>
          </w:p>
        </w:tc>
      </w:tr>
      <w:tr>
        <w:tc>
          <w:tcPr>
            <w:tcW w:type="dxa" w:w="3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center"/>
            </w:pPr>
            <w:r>
              <w:rPr>
                <w:rFonts w:ascii="Arial" w:cs="Arial" w:eastAsia="Arial" w:hAnsi="Arial"/>
                <w:b w:val="false"/>
                <w:bCs w:val="false"/>
                <w:i w:val="false"/>
                <w:iCs w:val="false"/>
                <w:color w:val="1A1A2E"/>
                <w:sz w:val="21"/>
                <w:szCs w:val="21"/>
              </w:rPr>
              <w:t xml:space="preserve">2</w:t>
            </w:r>
          </w:p>
        </w:tc>
        <w:tc>
          <w:tcPr>
            <w:tcW w:type="dxa" w:w="22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0"/>
                <w:szCs w:val="20"/>
              </w:rPr>
              <w:t xml:space="preserve">Solo se enviaba 1 correo de 15 posibles</w:t>
            </w:r>
          </w:p>
        </w:tc>
        <w:tc>
          <w:tcPr>
            <w:tcW w:type="dxa" w:w="33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0"/>
                <w:szCs w:val="20"/>
              </w:rPr>
              <w:t xml:space="preserve">La lógica solo notificaba en días exactos [45, 30, 20, 10, 5], los demás días se saltaban</w:t>
            </w:r>
          </w:p>
        </w:tc>
        <w:tc>
          <w:tcPr>
            <w:tcW w:type="dxa" w:w="35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0"/>
                <w:szCs w:val="20"/>
              </w:rPr>
              <w:t xml:space="preserve">Lógica por rangos: notifica cualquier servicio que vence en 0-45 días o que ya esté vencido</w:t>
            </w:r>
          </w:p>
        </w:tc>
      </w:tr>
      <w:tr>
        <w:tc>
          <w:tcPr>
            <w:tcW w:type="dxa" w:w="3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center"/>
            </w:pPr>
            <w:r>
              <w:rPr>
                <w:rFonts w:ascii="Arial" w:cs="Arial" w:eastAsia="Arial" w:hAnsi="Arial"/>
                <w:b w:val="false"/>
                <w:bCs w:val="false"/>
                <w:i w:val="false"/>
                <w:iCs w:val="false"/>
                <w:color w:val="1A1A2E"/>
                <w:sz w:val="21"/>
                <w:szCs w:val="21"/>
              </w:rPr>
              <w:t xml:space="preserve">3</w:t>
            </w:r>
          </w:p>
        </w:tc>
        <w:tc>
          <w:tcPr>
            <w:tcW w:type="dxa" w:w="22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0"/>
                <w:szCs w:val="20"/>
              </w:rPr>
              <w:t xml:space="preserve">Proceso bloqueado en el primer envío</w:t>
            </w:r>
          </w:p>
        </w:tc>
        <w:tc>
          <w:tcPr>
            <w:tcW w:type="dxa" w:w="33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0"/>
                <w:szCs w:val="20"/>
              </w:rPr>
              <w:t xml:space="preserve">La conexión IMAP sin timeout bloqueaba el proceso indefinidamente si el servidor tardaba</w:t>
            </w:r>
          </w:p>
        </w:tc>
        <w:tc>
          <w:tcPr>
            <w:tcW w:type="dxa" w:w="35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0"/>
                <w:szCs w:val="20"/>
              </w:rPr>
              <w:t xml:space="preserve">Timeout estricto de 8 segundos por intento IMAP + uso del host imap-alt02.mi.com.co configurado</w:t>
            </w:r>
          </w:p>
        </w:tc>
      </w:tr>
      <w:tr>
        <w:tc>
          <w:tcPr>
            <w:tcW w:type="dxa" w:w="3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center"/>
            </w:pPr>
            <w:r>
              <w:rPr>
                <w:rFonts w:ascii="Arial" w:cs="Arial" w:eastAsia="Arial" w:hAnsi="Arial"/>
                <w:b w:val="false"/>
                <w:bCs w:val="false"/>
                <w:i w:val="false"/>
                <w:iCs w:val="false"/>
                <w:color w:val="1A1A2E"/>
                <w:sz w:val="21"/>
                <w:szCs w:val="21"/>
              </w:rPr>
              <w:t xml:space="preserve">4</w:t>
            </w:r>
          </w:p>
        </w:tc>
        <w:tc>
          <w:tcPr>
            <w:tcW w:type="dxa" w:w="22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0"/>
                <w:szCs w:val="20"/>
              </w:rPr>
              <w:t xml:space="preserve">Plantillas rotas en Gmail y Hotmail</w:t>
            </w:r>
          </w:p>
        </w:tc>
        <w:tc>
          <w:tcPr>
            <w:tcW w:type="dxa" w:w="33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0"/>
                <w:szCs w:val="20"/>
              </w:rPr>
              <w:t xml:space="preserve">Las plantillas usaban display:flex y CSS variables, que Gmail elimina completamente</w:t>
            </w:r>
          </w:p>
        </w:tc>
        <w:tc>
          <w:tcPr>
            <w:tcW w:type="dxa" w:w="35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0"/>
                <w:szCs w:val="20"/>
              </w:rPr>
              <w:t xml:space="preserve">Rediseño completo con tablas HTML anidadas y estilos inline — estándar de email compatible universalmente</w:t>
            </w:r>
          </w:p>
        </w:tc>
      </w:tr>
      <w:tr>
        <w:tc>
          <w:tcPr>
            <w:tcW w:type="dxa" w:w="3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center"/>
            </w:pPr>
            <w:r>
              <w:rPr>
                <w:rFonts w:ascii="Arial" w:cs="Arial" w:eastAsia="Arial" w:hAnsi="Arial"/>
                <w:b w:val="false"/>
                <w:bCs w:val="false"/>
                <w:i w:val="false"/>
                <w:iCs w:val="false"/>
                <w:color w:val="1A1A2E"/>
                <w:sz w:val="21"/>
                <w:szCs w:val="21"/>
              </w:rPr>
              <w:t xml:space="preserve">5</w:t>
            </w:r>
          </w:p>
        </w:tc>
        <w:tc>
          <w:tcPr>
            <w:tcW w:type="dxa" w:w="22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0"/>
                <w:szCs w:val="20"/>
              </w:rPr>
              <w:t xml:space="preserve">Dominios como [SKIP]: orteco.co, habitaris.co</w:t>
            </w:r>
          </w:p>
        </w:tc>
        <w:tc>
          <w:tcPr>
            <w:tcW w:type="dxa" w:w="33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0"/>
                <w:szCs w:val="20"/>
              </w:rPr>
              <w:t xml:space="preserve">Límite de 45 días post-vencimiento excluía clientes que llevaban más tiempo sin renovar</w:t>
            </w:r>
          </w:p>
        </w:tc>
        <w:tc>
          <w:tcPr>
            <w:tcW w:type="dxa" w:w="35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0"/>
                <w:szCs w:val="20"/>
              </w:rPr>
              <w:t xml:space="preserve">Se eliminó el límite para vencidos: ahora se notifica siempre sin importar cuántos días lleve vencido</w:t>
            </w:r>
          </w:p>
        </w:tc>
      </w:tr>
      <w:tr>
        <w:tc>
          <w:tcPr>
            <w:tcW w:type="dxa" w:w="3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center"/>
            </w:pPr>
            <w:r>
              <w:rPr>
                <w:rFonts w:ascii="Arial" w:cs="Arial" w:eastAsia="Arial" w:hAnsi="Arial"/>
                <w:b w:val="false"/>
                <w:bCs w:val="false"/>
                <w:i w:val="false"/>
                <w:iCs w:val="false"/>
                <w:color w:val="1A1A2E"/>
                <w:sz w:val="21"/>
                <w:szCs w:val="21"/>
              </w:rPr>
              <w:t xml:space="preserve">6</w:t>
            </w:r>
          </w:p>
        </w:tc>
        <w:tc>
          <w:tcPr>
            <w:tcW w:type="dxa" w:w="22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0"/>
                <w:szCs w:val="20"/>
              </w:rPr>
              <w:t xml:space="preserve">[SKIP]: dineroalamano.com — fecha 12/03/2026</w:t>
            </w:r>
          </w:p>
        </w:tc>
        <w:tc>
          <w:tcPr>
            <w:tcW w:type="dxa" w:w="33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0"/>
                <w:szCs w:val="20"/>
              </w:rPr>
              <w:t xml:space="preserve">Excel guardaba fechas con DD/MM invertido a MM/DD, pandas las leía como 3 de diciembre en vez de 12 de marzo</w:t>
            </w:r>
          </w:p>
        </w:tc>
        <w:tc>
          <w:tcPr>
            <w:tcW w:type="dxa" w:w="35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0"/>
                <w:szCs w:val="20"/>
              </w:rPr>
              <w:t xml:space="preserve">Corrector inteligente de fechas: detecta inversión cuando el resultado queda a más de 60 días en el futuro con día ≤ 12</w:t>
            </w:r>
          </w:p>
        </w:tc>
      </w:tr>
      <w:tr>
        <w:tc>
          <w:tcPr>
            <w:tcW w:type="dxa" w:w="3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center"/>
            </w:pPr>
            <w:r>
              <w:rPr>
                <w:rFonts w:ascii="Arial" w:cs="Arial" w:eastAsia="Arial" w:hAnsi="Arial"/>
                <w:b w:val="false"/>
                <w:bCs w:val="false"/>
                <w:i w:val="false"/>
                <w:iCs w:val="false"/>
                <w:color w:val="1A1A2E"/>
                <w:sz w:val="21"/>
                <w:szCs w:val="21"/>
              </w:rPr>
              <w:t xml:space="preserve">7</w:t>
            </w:r>
          </w:p>
        </w:tc>
        <w:tc>
          <w:tcPr>
            <w:tcW w:type="dxa" w:w="220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0"/>
                <w:szCs w:val="20"/>
              </w:rPr>
              <w:t xml:space="preserve">Correos no aparecían en la carpeta Enviados</w:t>
            </w:r>
          </w:p>
        </w:tc>
        <w:tc>
          <w:tcPr>
            <w:tcW w:type="dxa" w:w="33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0"/>
                <w:szCs w:val="20"/>
              </w:rPr>
              <w:t xml:space="preserve">SMTP puro no guarda copias en el buzón del remitente — eso es responsabilidad del cliente de correo</w:t>
            </w:r>
          </w:p>
        </w:tc>
        <w:tc>
          <w:tcPr>
            <w:tcW w:type="dxa" w:w="35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0"/>
                <w:szCs w:val="20"/>
              </w:rPr>
              <w:t xml:space="preserve">Conexión IMAP post-envío que hace APPEND del mensaje a la carpeta Enviados automáticamente</w:t>
            </w:r>
          </w:p>
        </w:tc>
      </w:tr>
    </w:tbl>
    <w:p>
      <w:pPr>
        <w:spacing w:before="120" w:after="100"/>
      </w:pPr>
      <w:r>
        <w:t xml:space="preserve"/>
      </w:r>
    </w:p>
    <w:p>
      <w:pPr>
        <w:pStyle w:val="Heading1"/>
      </w:pPr>
      <w:r>
        <w:rPr>
          <w:rFonts w:ascii="Arial" w:cs="Arial" w:eastAsia="Arial" w:hAnsi="Arial"/>
          <w:b/>
          <w:bCs/>
          <w:i w:val="false"/>
          <w:iCs w:val="false"/>
          <w:color w:val="0D47A1"/>
          <w:sz w:val="36"/>
          <w:szCs w:val="36"/>
        </w:rPr>
        <w:t xml:space="preserve">7. Seguridad del sistema</w:t>
      </w:r>
    </w:p>
    <w:p>
      <w:pPr>
        <w:pBdr>
          <w:bottom w:val="single" w:color="0D47A1" w:sz="8" w:space="1"/>
        </w:pBdr>
        <w:spacing w:before="160" w:after="160"/>
      </w:pPr>
      <w:r>
        <w:t xml:space="preserve"/>
      </w:r>
    </w:p>
    <w:p>
      <w:pPr>
        <w:spacing w:before="80" w:after="100" w:line="310"/>
        <w:jc w:val="left"/>
      </w:pPr>
      <w:r>
        <w:rPr>
          <w:rFonts w:ascii="Arial" w:cs="Arial" w:eastAsia="Arial" w:hAnsi="Arial"/>
          <w:b w:val="false"/>
          <w:bCs w:val="false"/>
          <w:i w:val="false"/>
          <w:iCs w:val="false"/>
          <w:color w:val="1A1A2E"/>
          <w:sz w:val="22"/>
          <w:szCs w:val="22"/>
        </w:rPr>
        <w:t xml:space="preserve">El panel web fue construido siguiendo las guías de seguridad OWASP para aplicaciones web, incluyendo las siguientes medidas: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D47A1" w:sz="4"/>
              <w:left w:val="single" w:color="0D47A1" w:sz="4"/>
              <w:bottom w:val="single" w:color="0D47A1" w:sz="4"/>
              <w:right w:val="single" w:color="0D47A1" w:sz="4"/>
            </w:tcBorders>
            <w:shd w:fill="0D47A1"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FFFFFF"/>
                <w:sz w:val="20"/>
                <w:szCs w:val="20"/>
              </w:rPr>
              <w:t xml:space="preserve">Medida de seguridad</w:t>
            </w:r>
          </w:p>
        </w:tc>
        <w:tc>
          <w:tcPr>
            <w:tcW w:type="dxa" w:w="6360"/>
            <w:tcBorders>
              <w:top w:val="single" w:color="0D47A1" w:sz="4"/>
              <w:left w:val="single" w:color="0D47A1" w:sz="4"/>
              <w:bottom w:val="single" w:color="0D47A1" w:sz="4"/>
              <w:right w:val="single" w:color="0D47A1" w:sz="4"/>
            </w:tcBorders>
            <w:shd w:fill="0D47A1"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FFFFFF"/>
                <w:sz w:val="20"/>
                <w:szCs w:val="20"/>
              </w:rPr>
              <w:t xml:space="preserve">Implementación</w:t>
            </w:r>
          </w:p>
        </w:tc>
      </w:tr>
      <w:tr>
        <w:tc>
          <w:tcPr>
            <w:tcW w:type="dxa" w:w="30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1A1A2E"/>
                <w:sz w:val="21"/>
                <w:szCs w:val="21"/>
              </w:rPr>
              <w:t xml:space="preserve">Autenticación</w:t>
            </w:r>
          </w:p>
        </w:tc>
        <w:tc>
          <w:tcPr>
            <w:tcW w:type="dxa" w:w="63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1"/>
                <w:szCs w:val="21"/>
              </w:rPr>
              <w:t xml:space="preserve">Login con contraseña hasheada (bcrypt). Bloqueo automático de cuenta tras 5 intentos fallidos por 15 minutos.</w:t>
            </w:r>
          </w:p>
        </w:tc>
      </w:tr>
      <w:tr>
        <w:tc>
          <w:tcPr>
            <w:tcW w:type="dxa" w:w="30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1A1A2E"/>
                <w:sz w:val="21"/>
                <w:szCs w:val="21"/>
              </w:rPr>
              <w:t xml:space="preserve">Sesión segura</w:t>
            </w:r>
          </w:p>
        </w:tc>
        <w:tc>
          <w:tcPr>
            <w:tcW w:type="dxa" w:w="63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1"/>
                <w:szCs w:val="21"/>
              </w:rPr>
              <w:t xml:space="preserve">Sesión expira a las 8 horas. Cookies con flags HTTPOnly y SameSite para prevenir ataques XSS y CSRF.</w:t>
            </w:r>
          </w:p>
        </w:tc>
      </w:tr>
      <w:tr>
        <w:tc>
          <w:tcPr>
            <w:tcW w:type="dxa" w:w="30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1A1A2E"/>
                <w:sz w:val="21"/>
                <w:szCs w:val="21"/>
              </w:rPr>
              <w:t xml:space="preserve">Carga de archivos</w:t>
            </w:r>
          </w:p>
        </w:tc>
        <w:tc>
          <w:tcPr>
            <w:tcW w:type="dxa" w:w="63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1"/>
                <w:szCs w:val="21"/>
              </w:rPr>
              <w:t xml:space="preserve">Solo se aceptan archivos .xlsx y .xls, máximo 16 MB. Los nombres se sanitizan antes de guardarlos.</w:t>
            </w:r>
          </w:p>
        </w:tc>
      </w:tr>
      <w:tr>
        <w:tc>
          <w:tcPr>
            <w:tcW w:type="dxa" w:w="30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1A1A2E"/>
                <w:sz w:val="21"/>
                <w:szCs w:val="21"/>
              </w:rPr>
              <w:t xml:space="preserve">Base de datos</w:t>
            </w:r>
          </w:p>
        </w:tc>
        <w:tc>
          <w:tcPr>
            <w:tcW w:type="dxa" w:w="63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1"/>
                <w:szCs w:val="21"/>
              </w:rPr>
              <w:t xml:space="preserve">Uso de ORM SQLAlchemy con consultas parametrizadas. No hay SQL escrito directamente (previene inyección SQL).</w:t>
            </w:r>
          </w:p>
        </w:tc>
      </w:tr>
      <w:tr>
        <w:tc>
          <w:tcPr>
            <w:tcW w:type="dxa" w:w="3000"/>
            <w:tcBorders>
              <w:top w:val="single" w:color="CCCCCC" w:sz="4"/>
              <w:left w:val="single" w:color="CCCCCC" w:sz="4"/>
              <w:bottom w:val="single" w:color="CCCCCC" w:sz="4"/>
              <w:right w:val="single" w:color="CCCCCC" w:sz="4"/>
            </w:tcBorders>
            <w:shd w:fill="F7F9FC" w:val="clear"/>
            <w:tcMar>
              <w:top w:type="dxa" w:w="100"/>
              <w:left w:type="dxa" w:w="150"/>
              <w:bottom w:type="dxa" w:w="100"/>
              <w:right w:type="dxa" w:w="150"/>
            </w:tcMar>
            <w:vAlign w:val="center"/>
          </w:tcPr>
          <w:p>
            <w:pPr>
              <w:spacing w:before="80" w:after="80" w:line="276"/>
              <w:jc w:val="left"/>
            </w:pPr>
            <w:r>
              <w:rPr>
                <w:rFonts w:ascii="Arial" w:cs="Arial" w:eastAsia="Arial" w:hAnsi="Arial"/>
                <w:b/>
                <w:bCs/>
                <w:i w:val="false"/>
                <w:iCs w:val="false"/>
                <w:color w:val="1A1A2E"/>
                <w:sz w:val="21"/>
                <w:szCs w:val="21"/>
              </w:rPr>
              <w:t xml:space="preserve">Headers HTTP</w:t>
            </w:r>
          </w:p>
        </w:tc>
        <w:tc>
          <w:tcPr>
            <w:tcW w:type="dxa" w:w="6360"/>
            <w:tcBorders>
              <w:top w:val="single" w:color="CCCCCC" w:sz="4"/>
              <w:left w:val="single" w:color="CCCCCC" w:sz="4"/>
              <w:bottom w:val="single" w:color="CCCCCC" w:sz="4"/>
              <w:right w:val="single" w:color="CCCCCC" w:sz="4"/>
            </w:tcBorders>
            <w:tcMar>
              <w:top w:type="dxa" w:w="100"/>
              <w:left w:type="dxa" w:w="150"/>
              <w:bottom w:type="dxa" w:w="100"/>
              <w:right w:type="dxa" w:w="150"/>
            </w:tcMar>
            <w:vAlign w:val="center"/>
          </w:tcPr>
          <w:p>
            <w:pPr>
              <w:spacing w:before="80" w:after="80" w:line="276"/>
              <w:jc w:val="left"/>
            </w:pPr>
            <w:r>
              <w:rPr>
                <w:rFonts w:ascii="Arial" w:cs="Arial" w:eastAsia="Arial" w:hAnsi="Arial"/>
                <w:b w:val="false"/>
                <w:bCs w:val="false"/>
                <w:i w:val="false"/>
                <w:iCs w:val="false"/>
                <w:color w:val="1A1A2E"/>
                <w:sz w:val="21"/>
                <w:szCs w:val="21"/>
              </w:rPr>
              <w:t xml:space="preserve">Flask-Talisman aplica headers de seguridad: Content-Security-Policy, X-Frame-Options, HSTS y otros.</w:t>
            </w:r>
          </w:p>
        </w:tc>
      </w:tr>
    </w:tbl>
    <w:p>
      <w:pPr>
        <w:spacing w:before="120" w:after="100"/>
      </w:pPr>
      <w:r>
        <w:t xml:space="preserve"/>
      </w:r>
    </w:p>
    <w:p>
      <w:pPr>
        <w:pStyle w:val="Heading1"/>
      </w:pPr>
      <w:r>
        <w:rPr>
          <w:rFonts w:ascii="Arial" w:cs="Arial" w:eastAsia="Arial" w:hAnsi="Arial"/>
          <w:b/>
          <w:bCs/>
          <w:i w:val="false"/>
          <w:iCs w:val="false"/>
          <w:color w:val="0D47A1"/>
          <w:sz w:val="36"/>
          <w:szCs w:val="36"/>
        </w:rPr>
        <w:t xml:space="preserve">8. Conclusión</w:t>
      </w:r>
    </w:p>
    <w:p>
      <w:pPr>
        <w:pBdr>
          <w:bottom w:val="single" w:color="0D47A1" w:sz="8" w:space="1"/>
        </w:pBdr>
        <w:spacing w:before="160" w:after="160"/>
      </w:pPr>
      <w:r>
        <w:t xml:space="preserve"/>
      </w:r>
    </w:p>
    <w:p>
      <w:pPr>
        <w:spacing w:before="80" w:after="100" w:line="310"/>
        <w:jc w:val="left"/>
      </w:pPr>
      <w:r>
        <w:rPr>
          <w:rFonts w:ascii="Arial" w:cs="Arial" w:eastAsia="Arial" w:hAnsi="Arial"/>
          <w:b w:val="false"/>
          <w:bCs w:val="false"/>
          <w:i w:val="false"/>
          <w:iCs w:val="false"/>
          <w:color w:val="1A1A2E"/>
          <w:sz w:val="22"/>
          <w:szCs w:val="22"/>
        </w:rPr>
        <w:t xml:space="preserve">La automatización del proceso de notificaciones de renovaciones representa un avance significativo en la eficiencia operativa del área de Ejecutiva de Cuenta en MI.COM.CO. Lo que antes requería revisar manualmente cientos de filas de Excel, redactar correos uno a uno y mantener un registro informal, hoy se realiza con un solo clic en 15 minutos.</w:t>
      </w:r>
    </w:p>
    <w:p>
      <w:pPr>
        <w:spacing w:before="80" w:after="100" w:line="310"/>
        <w:jc w:val="left"/>
      </w:pPr>
      <w:r>
        <w:rPr>
          <w:rFonts w:ascii="Arial" w:cs="Arial" w:eastAsia="Arial" w:hAnsi="Arial"/>
          <w:b w:val="false"/>
          <w:bCs w:val="false"/>
          <w:i w:val="false"/>
          <w:iCs w:val="false"/>
          <w:color w:val="1A1A2E"/>
          <w:sz w:val="22"/>
          <w:szCs w:val="22"/>
        </w:rPr>
        <w:t xml:space="preserve">El proceso de desarrollo fue iterativo y colaborativo: cada prueba con archivos reales reveló un comportamiento a mejorar, y cada mejora se implementó y validó antes de continuar. El resultado es un sistema robusto, seguro y adaptado exactamente a la realidad operativa del equipo.</w:t>
      </w:r>
    </w:p>
    <w:p>
      <w:pPr>
        <w:spacing w:before="6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4"/>
              <w:left w:val="single" w:color="0D47A1" w:sz="4"/>
              <w:bottom w:val="single" w:color="0D47A1" w:sz="4"/>
              <w:right w:val="single" w:color="0D47A1" w:sz="4"/>
            </w:tcBorders>
            <w:shd w:fill="0D47A1" w:val="clear"/>
            <w:tcMar>
              <w:top w:type="dxa" w:w="100"/>
              <w:left w:type="dxa" w:w="150"/>
              <w:bottom w:type="dxa" w:w="100"/>
              <w:right w:type="dxa" w:w="150"/>
            </w:tcMar>
            <w:vAlign w:val="center"/>
          </w:tcPr>
          <w:p>
            <w:pPr>
              <w:spacing w:before="60" w:after="80" w:line="276"/>
              <w:jc w:val="center"/>
            </w:pPr>
            <w:r>
              <w:rPr>
                <w:rFonts w:ascii="Arial" w:cs="Arial" w:eastAsia="Arial" w:hAnsi="Arial"/>
                <w:b/>
                <w:bCs/>
                <w:i w:val="false"/>
                <w:iCs w:val="false"/>
                <w:color w:val="FFFFFF"/>
                <w:sz w:val="24"/>
                <w:szCs w:val="24"/>
              </w:rPr>
              <w:t xml:space="preserve">Logros principales del proyecto</w:t>
            </w:r>
          </w:p>
          <w:p>
            <w:pPr>
              <w:pStyle w:val="ListParagraph"/>
              <w:numPr>
                <w:ilvl w:val="0"/>
                <w:numId w:val="2"/>
              </w:numPr>
              <w:spacing w:before="60" w:after="60" w:line="276"/>
            </w:pPr>
            <w:r>
              <w:rPr>
                <w:rFonts w:ascii="Arial" w:cs="Arial" w:eastAsia="Arial" w:hAnsi="Arial"/>
                <w:b w:val="false"/>
                <w:bCs w:val="false"/>
                <w:color w:val="1A1A2E"/>
                <w:sz w:val="21"/>
                <w:szCs w:val="21"/>
              </w:rPr>
              <w:t xml:space="preserve">Reducción del tiempo operativo de 4 horas a 15 minutos (ahorro del 94%)</w:t>
            </w:r>
          </w:p>
          <w:p>
            <w:pPr>
              <w:pStyle w:val="ListParagraph"/>
              <w:numPr>
                <w:ilvl w:val="0"/>
                <w:numId w:val="2"/>
              </w:numPr>
              <w:spacing w:before="60" w:after="60" w:line="276"/>
            </w:pPr>
            <w:r>
              <w:rPr>
                <w:rFonts w:ascii="Arial" w:cs="Arial" w:eastAsia="Arial" w:hAnsi="Arial"/>
                <w:b w:val="false"/>
                <w:bCs w:val="false"/>
                <w:color w:val="1A1A2E"/>
                <w:sz w:val="21"/>
                <w:szCs w:val="21"/>
              </w:rPr>
              <w:t xml:space="preserve">Notificación automática a más de 15.000 registros de clientes</w:t>
            </w:r>
          </w:p>
          <w:p>
            <w:pPr>
              <w:pStyle w:val="ListParagraph"/>
              <w:numPr>
                <w:ilvl w:val="0"/>
                <w:numId w:val="2"/>
              </w:numPr>
              <w:spacing w:before="60" w:after="60" w:line="276"/>
            </w:pPr>
            <w:r>
              <w:rPr>
                <w:rFonts w:ascii="Arial" w:cs="Arial" w:eastAsia="Arial" w:hAnsi="Arial"/>
                <w:b w:val="false"/>
                <w:bCs w:val="false"/>
                <w:color w:val="1A1A2E"/>
                <w:sz w:val="21"/>
                <w:szCs w:val="21"/>
              </w:rPr>
              <w:t xml:space="preserve">Correos agrupados: un cliente con varios servicios recibe un único correo organizado</w:t>
            </w:r>
          </w:p>
          <w:p>
            <w:pPr>
              <w:pStyle w:val="ListParagraph"/>
              <w:numPr>
                <w:ilvl w:val="0"/>
                <w:numId w:val="2"/>
              </w:numPr>
              <w:spacing w:before="60" w:after="60" w:line="276"/>
            </w:pPr>
            <w:r>
              <w:rPr>
                <w:rFonts w:ascii="Arial" w:cs="Arial" w:eastAsia="Arial" w:hAnsi="Arial"/>
                <w:b w:val="false"/>
                <w:bCs w:val="false"/>
                <w:color w:val="1A1A2E"/>
                <w:sz w:val="21"/>
                <w:szCs w:val="21"/>
              </w:rPr>
              <w:t xml:space="preserve">Compatibilidad universal con todos los clientes de correo (Gmail, Hotmail, Outlook, Webmail)</w:t>
            </w:r>
          </w:p>
          <w:p>
            <w:pPr>
              <w:pStyle w:val="ListParagraph"/>
              <w:numPr>
                <w:ilvl w:val="0"/>
                <w:numId w:val="2"/>
              </w:numPr>
              <w:spacing w:before="60" w:after="60" w:line="276"/>
            </w:pPr>
            <w:r>
              <w:rPr>
                <w:rFonts w:ascii="Arial" w:cs="Arial" w:eastAsia="Arial" w:hAnsi="Arial"/>
                <w:b w:val="false"/>
                <w:bCs w:val="false"/>
                <w:color w:val="1A1A2E"/>
                <w:sz w:val="21"/>
                <w:szCs w:val="21"/>
              </w:rPr>
              <w:t xml:space="preserve">Panel web con historial, reportes exportables y control total del proceso</w:t>
            </w:r>
          </w:p>
          <w:p>
            <w:pPr>
              <w:pStyle w:val="ListParagraph"/>
              <w:numPr>
                <w:ilvl w:val="0"/>
                <w:numId w:val="2"/>
              </w:numPr>
              <w:spacing w:before="60" w:after="60" w:line="276"/>
            </w:pPr>
            <w:r>
              <w:rPr>
                <w:rFonts w:ascii="Arial" w:cs="Arial" w:eastAsia="Arial" w:hAnsi="Arial"/>
                <w:b w:val="false"/>
                <w:bCs w:val="false"/>
                <w:color w:val="1A1A2E"/>
                <w:sz w:val="21"/>
                <w:szCs w:val="21"/>
              </w:rPr>
              <w:t xml:space="preserve">Copia automática en carpeta Enviados del buzón de isasalazar@mi.com.co</w:t>
            </w:r>
          </w:p>
          <w:p>
            <w:pPr>
              <w:pStyle w:val="ListParagraph"/>
              <w:numPr>
                <w:ilvl w:val="0"/>
                <w:numId w:val="2"/>
              </w:numPr>
              <w:spacing w:before="60" w:after="60" w:line="276"/>
            </w:pPr>
            <w:r>
              <w:rPr>
                <w:rFonts w:ascii="Arial" w:cs="Arial" w:eastAsia="Arial" w:hAnsi="Arial"/>
                <w:b w:val="false"/>
                <w:bCs w:val="false"/>
                <w:color w:val="1A1A2E"/>
                <w:sz w:val="21"/>
                <w:szCs w:val="21"/>
              </w:rPr>
              <w:t xml:space="preserve">Seguridad OWASP: autenticación, anti-duplicados y registro completo de actividad</w:t>
            </w:r>
          </w:p>
          <w:p>
            <w:pPr>
              <w:spacing w:before="40" w:after="0" w:line="276"/>
              <w:jc w:val="left"/>
            </w:pPr>
            <w:r>
              <w:rPr>
                <w:rFonts w:ascii="Arial" w:cs="Arial" w:eastAsia="Arial" w:hAnsi="Arial"/>
                <w:b w:val="false"/>
                <w:bCs w:val="false"/>
                <w:i w:val="false"/>
                <w:iCs w:val="false"/>
                <w:color w:val="1A1A2E"/>
                <w:sz w:val="22"/>
                <w:szCs w:val="22"/>
              </w:rPr>
              <w:t xml:space="preserve"/>
            </w:r>
          </w:p>
        </w:tc>
      </w:tr>
    </w:tbl>
    <w:p>
      <w:pPr>
        <w:spacing w:before="120" w:after="100"/>
      </w:pPr>
      <w:r>
        <w:t xml:space="preserve"/>
      </w:r>
    </w:p>
    <w:p>
      <w:pPr>
        <w:spacing w:before="200" w:after="80" w:line="276"/>
        <w:jc w:val="center"/>
      </w:pPr>
      <w:r>
        <w:rPr>
          <w:rFonts w:ascii="Arial" w:cs="Arial" w:eastAsia="Arial" w:hAnsi="Arial"/>
          <w:b w:val="false"/>
          <w:bCs w:val="false"/>
          <w:i/>
          <w:iCs/>
          <w:color w:val="666666"/>
          <w:sz w:val="20"/>
          <w:szCs w:val="20"/>
        </w:rPr>
        <w:t xml:space="preserve">Preparado por: Isa Salazar — Ejecutiva de Cuenta · Renovaciones MI.COM.CO · Marzo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DF4" w:sz="4" w:space="4"/>
      </w:pBdr>
      <w:tabs>
        <w:tab w:val="right" w:pos="9360"/>
      </w:tabs>
      <w:spacing w:before="80" w:after="0"/>
    </w:pPr>
    <w:r>
      <w:rPr>
        <w:rFonts w:ascii="Arial" w:cs="Arial" w:eastAsia="Arial" w:hAnsi="Arial"/>
        <w:b w:val="false"/>
        <w:bCs w:val="false"/>
        <w:i w:val="false"/>
        <w:iCs w:val="false"/>
        <w:color w:val="666666"/>
        <w:sz w:val="18"/>
        <w:szCs w:val="18"/>
      </w:rPr>
      <w:t xml:space="preserve">MI.COM.CO — Confidencial</w:t>
    </w:r>
    <w:r>
      <w:rPr>
        <w:rFonts w:ascii="Arial" w:cs="Arial" w:eastAsia="Arial" w:hAnsi="Arial"/>
        <w:b w:val="false"/>
        <w:bCs w:val="false"/>
        <w:i w:val="false"/>
        <w:iCs w:val="false"/>
        <w:color w:val="1A1A2E"/>
        <w:sz w:val="18"/>
        <w:szCs w:val="18"/>
      </w:rPr>
      <w:t xml:space="preserve">	</w:t>
    </w:r>
    <w:r>
      <w:rPr>
        <w:rFonts w:ascii="Arial" w:cs="Arial" w:eastAsia="Arial" w:hAnsi="Arial"/>
        <w:b w:val="false"/>
        <w:bCs w:val="false"/>
        <w:i w:val="false"/>
        <w:iCs w:val="false"/>
        <w:color w:val="666666"/>
        <w:sz w:val="18"/>
        <w:szCs w:val="18"/>
      </w:rPr>
      <w:t xml:space="preserve">Página </w:t>
    </w:r>
    <w:r>
      <w:rPr>
        <w:rFonts w:ascii="Arial" w:cs="Arial" w:eastAsia="Arial" w:hAnsi="Arial"/>
        <w:color w:val="666666"/>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47A1" w:sz="6" w:space="4"/>
      </w:pBdr>
      <w:spacing w:before="0" w:after="80"/>
    </w:pPr>
    <w:r>
      <w:rPr>
        <w:rFonts w:ascii="Arial" w:cs="Arial" w:eastAsia="Arial" w:hAnsi="Arial"/>
        <w:b/>
        <w:bCs/>
        <w:i w:val="false"/>
        <w:iCs w:val="false"/>
        <w:color w:val="0D47A1"/>
        <w:sz w:val="20"/>
        <w:szCs w:val="20"/>
      </w:rPr>
      <w:t xml:space="preserve">MI.COM.CO</w:t>
    </w:r>
    <w:r>
      <w:rPr>
        <w:rFonts w:ascii="Arial" w:cs="Arial" w:eastAsia="Arial" w:hAnsi="Arial"/>
        <w:b w:val="false"/>
        <w:bCs w:val="false"/>
        <w:i w:val="false"/>
        <w:iCs w:val="false"/>
        <w:color w:val="666666"/>
        <w:sz w:val="20"/>
        <w:szCs w:val="20"/>
      </w:rPr>
      <w:t xml:space="preserve">   |   Informe de Automatización de Renovaciones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D47A1"/>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D47A1"/>
      <w:sz w:val="28"/>
      <w:szCs w:val="28"/>
    </w:rPr>
  </w:style>
  <w:style w:type="paragraph" w:styleId="Heading3">
    <w:name w:val="Heading 3"/>
    <w:basedOn w:val="Normal"/>
    <w:next w:val="Normal"/>
    <w:qFormat/>
    <w:pPr>
      <w:spacing w:before="200" w:after="80"/>
      <w:outlineLvl w:val="2"/>
    </w:pPr>
    <w:rPr>
      <w:rFonts w:ascii="Arial" w:cs="Arial" w:eastAsia="Arial" w:hAnsi="Arial"/>
      <w:b/>
      <w:bCs/>
      <w:color w:val="FF6D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2026-03-18T14:54:16.111Z</dcterms:created>
  <dcterms:modified xsi:type="dcterms:W3CDTF">2026-03-18T14:54:16.112Z</dcterms:modified>
</cp:coreProperties>
</file>

<file path=docProps/custom.xml><?xml version="1.0" encoding="utf-8"?>
<Properties xmlns="http://schemas.openxmlformats.org/officeDocument/2006/custom-properties" xmlns:vt="http://schemas.openxmlformats.org/officeDocument/2006/docPropsVTypes"/>
</file>