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PENERBIT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EMAIL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/>
            <w:r>
              <w:rPr/>
              <w:t xml:space="preserve">Yogyakarta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(0274) 889248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promosi@bentangpustaka.com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(0224) 664821</w:t>
            </w:r>
          </w:p>
        </w:tc>
        <w:tc>
          <w:tcPr>
            <w:tcW w:w="5000" w:type="dxa"/>
          </w:tcPr>
          <w:p>
            <w:pPr/>
            <w:r>
              <w:rPr/>
              <w:t xml:space="preserve">indandrapublised@gmail.com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/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(022) 5432468</w:t>
            </w:r>
          </w:p>
        </w:tc>
        <w:tc>
          <w:tcPr>
            <w:tcW w:w="5000" w:type="dxa"/>
          </w:tcPr>
          <w:p>
            <w:pPr/>
            <w:r>
              <w:rPr/>
              <w:t xml:space="preserve">redaksi@bukune.com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2018-08-03T05:09:10+02:00</dcterms:created>
  <dcterms:modified xsi:type="dcterms:W3CDTF">2018-08-03T05:09:10+02:00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