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 w:line="360" w:lineRule="auto"/>
        <w:jc w:val="center"/>
      </w:pPr>
    </w:p>
    <w:p>
      <w:pPr>
        <w:spacing w:line="360" w:lineRule="auto"/>
        <w:jc w:val="center"/>
      </w:pPr>
      <w:r>
        <w:rPr>
          <w:rFonts w:ascii="Courier New" w:hAnsi="Courier New" w:cs="Courier New"/>
        </w:rPr>
        <w:t xml:space="preserve">ЧЕТВЕРТЫЙ АРБИТРАЖНЫЙ АПЕЛЛЯЦИОННЫЙ СУДНЫЙ ДЕНЬ</w:t>
      </w:r>
    </w:p>
    <w:p>
      <w:pPr>
        <w:spacing w:line="360" w:lineRule="auto"/>
        <w:jc w:val="center"/>
      </w:pPr>
      <w:r>
        <w:rPr>
          <w:rFonts w:ascii="Courier New" w:hAnsi="Courier New" w:cs="Courier New"/>
        </w:rPr>
        <w:t xml:space="preserve">672000, г. Чита, ул. Ленина, 100б,  </w:t>
      </w:r>
      <w:hyperlink r:id="rId8" w:history="1">
        <w:r>
          <w:rPr>
            <w:color w:val="0000FF"/>
            <w:rFonts w:ascii="Courier New" w:hAnsi="Courier New" w:cs="Courier New"/>
          </w:rPr>
          <w:t xml:space="preserve">http://4aas.arbitr.ru</w:t>
        </w:r>
      </w:hyperlink>
    </w:p>
    <w:p>
      <w:pPr>
        <w:spacing w:line="360" w:lineRule="auto"/>
        <w:jc w:val="center"/>
      </w:pPr>
    </w:p>
    <w:p>
      <w:pPr>
        <w:spacing w:line="360" w:lineRule="auto"/>
        <w:jc w:val="center"/>
      </w:pPr>
      <w:r>
        <w:rPr>
          <w:rFonts w:ascii="Courier New" w:hAnsi="Courier New" w:cs="Courier New"/>
        </w:rPr>
        <w:t xml:space="preserve">ОПРЕДЕЛЕНИЕ ПИДОРА</w:t>
      </w:r>
    </w:p>
    <w:p>
      <w:pPr>
        <w:spacing w:line="360" w:lineRule="auto"/>
        <w:jc w:val="center"/>
      </w:pPr>
      <w:r>
        <w:rPr>
          <w:rFonts w:ascii="Courier New" w:hAnsi="Courier New" w:cs="Courier New"/>
        </w:rPr>
        <w:t xml:space="preserve">о принятии апелляционной жалобы к производству</w:t>
      </w:r>
    </w:p>
    <w:p>
      <w:pPr>
        <w:spacing w:line="360" w:lineRule="auto"/>
        <w:jc w:val="both"/>
        <w:ind w:firstLine="709"/>
      </w:pPr>
    </w:p>
    <w:tbl>
      <w:tblPr/>
      <w:tblGrid>
        <w:gridCol w:w="4928"/>
        <w:gridCol w:w="4536"/>
        <w:gridCol w:w=""/>
        <w:gridCol w:w=""/>
        <w:gridCol w:w=""/>
      </w:tblGrid>
      <w:tr>
        <w:trPr/>
        <w:tc>
          <w:tcPr/>
          <w:p>
            <w:pPr>
              <w:spacing w:line="360" w:lineRule="auto"/>
            </w:pPr>
            <w:r>
              <w:rPr>
                <w:rFonts w:ascii="Courier New" w:hAnsi="Courier New" w:cs="Courier New"/>
              </w:rPr>
              <w:t xml:space="preserve">г. Чита</w:t>
            </w:r>
          </w:p>
        </w:tc>
        <w:tc>
          <w:tcPr/>
          <w:p>
            <w:pPr>
              <w:spacing w:line="360" w:lineRule="auto"/>
              <w:jc w:val="right"/>
              <w:ind w:firstLine="34"/>
            </w:pPr>
            <w:r>
              <w:rPr>
                <w:rFonts w:ascii="Courier New" w:hAnsi="Courier New" w:cs="Courier New"/>
              </w:rPr>
              <w:t xml:space="preserve">Дело № </w:t>
            </w:r>
            <w:r>
              <w:rPr>
                <w:rFonts w:ascii="Courier New" w:hAnsi="Courier New" w:cs="Courier New"/>
              </w:rPr>
              <w:t xml:space="preserve">А10-4698/21</w:t>
            </w:r>
          </w:p>
        </w:tc>
      </w:tr>
    </w:tbl>
    <w:p>
      <w:pPr>
        <w:spacing w:line="360" w:lineRule="auto"/>
        <w:jc w:val="both"/>
      </w:pPr>
      <w:r>
        <w:rPr>
          <w:rFonts w:ascii="Courier New" w:hAnsi="Courier New" w:cs="Courier New"/>
        </w:rPr>
        <w:t xml:space="preserve">30.01.2023</w:t>
      </w:r>
    </w:p>
    <w:p>
      <w:pPr>
        <w:spacing w:line="360" w:lineRule="auto"/>
        <w:jc w:val="both"/>
      </w:pPr>
    </w:p>
    <w:tbl>
      <w:tblPr/>
      <w:tblGrid>
        <w:gridCol w:w="1696"/>
        <w:gridCol w:w="1985"/>
        <w:gridCol w:w="1701"/>
        <w:gridCol w:w="3963"/>
        <w:gridCol w:w=""/>
        <w:gridCol w:w=""/>
        <w:gridCol w:w=""/>
      </w:tblGrid>
      <w:tr>
        <w:trPr/>
        <w:tc>
          <w:tcPr/>
          <w:p>
            <w:pPr/>
            <w:r>
              <w:rPr/>
              <w:t xml:space="preserve">Имя</w:t>
            </w:r>
          </w:p>
        </w:tc>
        <w:tc>
          <w:tcPr/>
          <w:p>
            <w:pPr/>
            <w:r>
              <w:rPr/>
              <w:t xml:space="preserve">Фамилия</w:t>
            </w:r>
          </w:p>
        </w:tc>
        <w:tc>
          <w:tcPr/>
          <w:p>
            <w:pPr/>
            <w:r>
              <w:rPr/>
              <w:t xml:space="preserve">Отчество</w:t>
            </w:r>
          </w:p>
        </w:tc>
        <w:tc>
          <w:tcPr/>
          <w:p>
            <w:pPr/>
            <w:r>
              <w:rPr/>
              <w:t xml:space="preserve">Дата рождения</w:t>
            </w:r>
          </w:p>
        </w:tc>
      </w:tr>
      <w:tr>
        <w:trPr/>
        <w:tc>
          <w:tcPr/>
          <w:p>
            <w:pPr>
              <w:jc w:val="center"/>
            </w:pPr>
            <w:r>
              <w:rPr/>
              <w:t xml:space="preserve">Александр</w:t>
            </w:r>
          </w:p>
        </w:tc>
        <w:tc>
          <w:tcPr/>
          <w:p>
            <w:pPr>
              <w:jc w:val="center"/>
            </w:pPr>
            <w:r>
              <w:rPr/>
              <w:t xml:space="preserve">Раменский</w:t>
            </w:r>
          </w:p>
        </w:tc>
        <w:tc>
          <w:tcPr/>
          <w:p>
            <w:pPr>
              <w:jc w:val="center"/>
            </w:pPr>
            <w:r>
              <w:rPr/>
              <w:t xml:space="preserve">Геевич</w:t>
            </w:r>
          </w:p>
        </w:tc>
        <w:tc>
          <w:tcPr/>
          <w:p>
            <w:pPr>
              <w:jc w:val="center"/>
            </w:pPr>
            <w:r>
              <w:rPr/>
              <w:t xml:space="preserve">17.10.2001</w:t>
            </w:r>
          </w:p>
        </w:tc>
      </w:tr>
      <w:tr>
        <w:trPr/>
        <w:tc>
          <w:tcPr/>
          <w:p>
            <w:pPr/>
            <w:r>
              <w:rPr/>
              <w:t xml:space="preserve">Флегматик</w:t>
            </w:r>
          </w:p>
        </w:tc>
        <w:tc>
          <w:tcPr/>
          <w:p>
            <w:pPr/>
            <w:r>
              <w:rPr/>
              <w:t xml:space="preserve">Флегматов</w:t>
            </w:r>
          </w:p>
        </w:tc>
        <w:tc>
          <w:tcPr/>
          <w:p>
            <w:pPr/>
            <w:r>
              <w:rPr/>
              <w:t xml:space="preserve">Флегматович</w:t>
            </w:r>
          </w:p>
        </w:tc>
        <w:tc>
          <w:tcPr/>
          <w:p>
            <w:pPr/>
            <w:r>
              <w:rPr/>
              <w:t xml:space="preserve">39.19.2048</w:t>
            </w:r>
          </w:p>
        </w:tc>
      </w:tr>
      <w:tr>
        <w:trPr/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/>
          </w:p>
        </w:tc>
      </w:tr>
      <w:tr>
        <w:trPr/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/>
          </w:p>
        </w:tc>
        <w:tc>
          <w:tcPr/>
          <w:p>
            <w:pPr/>
          </w:p>
        </w:tc>
      </w:tr>
    </w:tbl>
    <w:p>
      <w:pPr>
        <w:spacing w:line="360" w:lineRule="auto"/>
        <w:jc w:val="both"/>
      </w:pPr>
    </w:p>
    <w:p>
      <w:pPr>
        <w:spacing w:line="360" w:lineRule="auto"/>
        <w:jc w:val="both"/>
        <w:ind w:firstLine="709"/>
      </w:pPr>
    </w:p>
    <w:p>
      <w:pPr>
        <w:shd w:fill="FFFFFF"/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Судья Четвертого арбитражного апелляционного суда </w:t>
      </w:r>
      <w:r>
        <w:rPr>
          <w:rFonts w:ascii="Courier New" w:hAnsi="Courier New" w:cs="Courier New"/>
        </w:rPr>
        <w:t xml:space="preserve">Сидоренко В. А.</w:t>
      </w:r>
      <w:r>
        <w:rPr>
          <w:rFonts w:ascii="Courier New" w:hAnsi="Courier New" w:cs="Courier New"/>
        </w:rPr>
        <w:t xml:space="preserve">, рассмотрев вопрос о принятии к производству апелляционной жалобы </w:t>
      </w:r>
      <w:r>
        <w:rPr>
          <w:rFonts w:ascii="Courier New" w:hAnsi="Courier New" w:cs="Courier New"/>
        </w:rPr>
        <w:t xml:space="preserve">НО "ФОНД КАПИТАЛЬНОГО РЕМОНТА"</w:t>
      </w:r>
      <w:r>
        <w:rPr>
          <w:rFonts w:ascii="Courier New" w:hAnsi="Courier New" w:cs="Courier New"/>
        </w:rPr>
        <w:t xml:space="preserve"> на решение </w:t>
      </w:r>
      <w:r>
        <w:rPr>
          <w:rFonts w:ascii="Courier New" w:hAnsi="Courier New" w:cs="Courier New"/>
        </w:rPr>
        <w:t xml:space="preserve">Арбитражный суд Республики Бурятия</w:t>
      </w:r>
      <w:r>
        <w:rPr>
          <w:rFonts w:ascii="Courier New" w:hAnsi="Courier New" w:cs="Courier New"/>
        </w:rPr>
        <w:t xml:space="preserve"> от </w:t>
      </w:r>
      <w:r>
        <w:rPr>
          <w:rFonts w:ascii="Courier New" w:hAnsi="Courier New" w:cs="Courier New"/>
        </w:rPr>
        <w:t xml:space="preserve">10 марта 2022</w:t>
      </w:r>
      <w:r>
        <w:rPr>
          <w:rFonts w:ascii="Courier New" w:hAnsi="Courier New" w:cs="Courier New"/>
        </w:rPr>
        <w:t xml:space="preserve"> года </w:t>
      </w:r>
      <w:r>
        <w:rPr>
          <w:rFonts w:ascii="Courier New" w:hAnsi="Courier New" w:cs="Courier New"/>
        </w:rPr>
        <w:t xml:space="preserve">по делу № </w:t>
      </w:r>
      <w:r>
        <w:rPr>
          <w:rFonts w:ascii="Courier New" w:hAnsi="Courier New" w:cs="Courier New"/>
        </w:rPr>
        <w:t xml:space="preserve">А10-4698/21</w:t>
      </w:r>
      <w:r>
        <w:rPr>
          <w:rFonts w:ascii="Courier New" w:hAnsi="Courier New" w:cs="Courier New"/>
        </w:rPr>
        <w:t xml:space="preserve">, и приложенными к жалобе документами,</w:t>
      </w:r>
    </w:p>
    <w:p>
      <w:pPr>
        <w:spacing w:line="360" w:lineRule="auto"/>
        <w:jc w:val="center"/>
        <w:ind w:firstLine="709"/>
      </w:pPr>
      <w:r>
        <w:rPr>
          <w:rFonts w:ascii="Courier New" w:hAnsi="Courier New" w:cs="Courier New"/>
        </w:rPr>
        <w:t xml:space="preserve">УСТАНОВИЛ:</w:t>
      </w:r>
    </w:p>
    <w:p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НО "ФОНД КАПИТАЛЬНОГО РЕМОНТА"</w:t>
      </w:r>
      <w:r>
        <w:rPr>
          <w:rFonts w:ascii="Courier New" w:hAnsi="Courier New" w:cs="Courier New"/>
        </w:rPr>
        <w:t xml:space="preserve"> (ОГРН </w:t>
      </w:r>
      <w:r>
        <w:rPr>
          <w:color w:val="0000FF"/>
          <w:rFonts w:ascii="Courier New" w:hAnsi="Courier New" w:cs="Courier New"/>
        </w:rPr>
        <w:t xml:space="preserve">1140327006951</w:t>
      </w:r>
      <w:r>
        <w:rPr>
          <w:rFonts w:ascii="Courier New" w:hAnsi="Courier New" w:cs="Courier New"/>
        </w:rPr>
        <w:t xml:space="preserve">, ИНН </w:t>
      </w:r>
      <w:r>
        <w:rPr>
          <w:color w:val="0000FF"/>
          <w:rFonts w:ascii="Courier New" w:hAnsi="Courier New" w:cs="Courier New"/>
        </w:rPr>
        <w:t xml:space="preserve">0326522362</w:t>
      </w:r>
      <w:r>
        <w:rPr>
          <w:rFonts w:ascii="Courier New" w:hAnsi="Courier New" w:cs="Courier New"/>
        </w:rPr>
        <w:t xml:space="preserve">) обратил</w:t>
      </w:r>
      <w:r>
        <w:rPr>
          <w:rFonts w:ascii="Courier New" w:hAnsi="Courier New" w:cs="Courier New"/>
        </w:rPr>
        <w:t xml:space="preserve">ся </w:t>
      </w:r>
      <w:r>
        <w:rPr>
          <w:rFonts w:ascii="Courier New" w:hAnsi="Courier New" w:cs="Courier New"/>
        </w:rPr>
        <w:t xml:space="preserve">в Четвертый арбитражный апелляционный суд с апелляционной жалобой решение </w:t>
      </w:r>
      <w:r>
        <w:rPr>
          <w:rFonts w:ascii="Courier New" w:hAnsi="Courier New" w:cs="Courier New"/>
        </w:rPr>
        <w:t xml:space="preserve">Арбитражный суд Республики Бурятия</w:t>
      </w:r>
      <w:r>
        <w:rPr>
          <w:rFonts w:ascii="Courier New" w:hAnsi="Courier New" w:cs="Courier New"/>
        </w:rPr>
        <w:t xml:space="preserve"> от </w:t>
      </w:r>
      <w:r>
        <w:rPr>
          <w:rFonts w:ascii="Courier New" w:hAnsi="Courier New" w:cs="Courier New"/>
        </w:rPr>
        <w:t xml:space="preserve">10 марта 2022</w:t>
      </w:r>
      <w:r>
        <w:rPr>
          <w:rFonts w:ascii="Courier New" w:hAnsi="Courier New" w:cs="Courier New"/>
        </w:rPr>
        <w:t xml:space="preserve"> года </w:t>
      </w:r>
      <w:r>
        <w:rPr>
          <w:rFonts w:ascii="Courier New" w:hAnsi="Courier New" w:cs="Courier New"/>
        </w:rPr>
        <w:t xml:space="preserve">по делу № </w:t>
      </w:r>
      <w:r>
        <w:rPr>
          <w:rFonts w:ascii="Courier New" w:hAnsi="Courier New" w:cs="Courier New"/>
        </w:rPr>
        <w:t xml:space="preserve">А10-4698/21</w:t>
      </w:r>
      <w:r>
        <w:rPr>
          <w:rFonts w:ascii="Courier New" w:hAnsi="Courier New" w:cs="Courier New"/>
        </w:rPr>
        <w:t xml:space="preserve">.</w:t>
      </w:r>
    </w:p>
    <w:p>
      <w:pPr>
        <w:shd w:fill="FFFFFF"/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Апелляционная жалоба подана с соблюдением требований, установленных статьей 260 Арбитражного процессуального кодекса Российской Федерации.</w:t>
      </w:r>
    </w:p>
    <w:p>
      <w:pPr>
        <w:shd w:fill="FFFFFF"/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Учитывая изложенное и руководствуясь статьями 184, 185, 261 Арбитражного процессуального кодекса Российской Федерации, Четвертый арбитражный апелляционный суд,</w:t>
      </w:r>
    </w:p>
    <w:p>
      <w:pPr>
        <w:spacing w:line="360" w:lineRule="auto"/>
        <w:jc w:val="center"/>
        <w:ind w:firstLine="709"/>
      </w:pPr>
      <w:r>
        <w:rPr>
          <w:rFonts w:ascii="Courier New" w:hAnsi="Courier New" w:cs="Courier New"/>
        </w:rPr>
        <w:t xml:space="preserve">ОПРЕДЕЛИЛ:</w:t>
      </w:r>
    </w:p>
    <w:p>
      <w:pPr>
        <w:shd w:fill="FFFFFF"/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Апелляционную жалобу </w:t>
      </w:r>
      <w:r>
        <w:rPr>
          <w:rFonts w:ascii="Courier New" w:hAnsi="Courier New" w:cs="Courier New"/>
        </w:rPr>
        <w:t xml:space="preserve">на решение </w:t>
      </w:r>
      <w:r>
        <w:rPr>
          <w:rFonts w:ascii="Courier New" w:hAnsi="Courier New" w:cs="Courier New"/>
        </w:rPr>
        <w:t xml:space="preserve">Арбитражный суд Республики Бурятия</w:t>
      </w:r>
      <w:r>
        <w:rPr>
          <w:rFonts w:ascii="Courier New" w:hAnsi="Courier New" w:cs="Courier New"/>
        </w:rPr>
        <w:t xml:space="preserve"> от </w:t>
      </w:r>
      <w:r>
        <w:rPr>
          <w:rFonts w:ascii="Courier New" w:hAnsi="Courier New" w:cs="Courier New"/>
        </w:rPr>
        <w:t xml:space="preserve">10 марта 2022</w:t>
      </w:r>
      <w:r>
        <w:rPr>
          <w:rFonts w:ascii="Courier New" w:hAnsi="Courier New" w:cs="Courier New"/>
        </w:rPr>
        <w:t xml:space="preserve"> года </w:t>
      </w:r>
      <w:r>
        <w:rPr>
          <w:rFonts w:ascii="Courier New" w:hAnsi="Courier New" w:cs="Courier New"/>
        </w:rPr>
        <w:t xml:space="preserve">по делу № </w:t>
      </w:r>
      <w:r>
        <w:rPr>
          <w:rFonts w:ascii="Courier New" w:hAnsi="Courier New" w:cs="Courier New"/>
        </w:rPr>
        <w:t xml:space="preserve">А10-4698/21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принять к производству Четвертого арбитражного апелляционного суда.</w:t>
      </w:r>
    </w:p>
    <w:p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Назначить дело к судебному разбирательству в судебном заседании Четвертого арбитражного апелляционного суда на </w:t>
      </w:r>
      <w:r>
        <w:rPr>
          <w:rFonts w:ascii="Courier New" w:hAnsi="Courier New" w:cs="Courier New"/>
        </w:rPr>
        <w:t xml:space="preserve">15.07.2022 16:20</w:t>
      </w:r>
      <w:r>
        <w:rPr>
          <w:rFonts w:ascii="Courier New" w:hAnsi="Courier New" w:cs="Courier New"/>
        </w:rPr>
        <w:t xml:space="preserve"> в помещении суда по адресу: </w:t>
      </w:r>
      <w:r>
        <w:rPr>
          <w:rFonts w:ascii="Courier New" w:hAnsi="Courier New" w:cs="Courier New"/>
        </w:rPr>
        <w:t xml:space="preserve">.Чита, ул. Ленина, 100б.</w:t>
      </w:r>
    </w:p>
    <w:p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Предложить лицам, участвующим в деле, заблаговременно представить отзывы на апелляционную жалобу.</w:t>
      </w:r>
    </w:p>
    <w:p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В соответствии с частями 1, 2, 4 статьи 262 Арбитражного процессуального кодекса Российской Федерации лицо, участвующее в деле, направляет отзыв на апелляционную жалобу с приложением документов, подтверждающих возражения относительно жалобы, другим лицам, участвующим в деле, и в арбитражный суд. К отзыву, направляемому в арбитражный суд, прилагается также документ, подтверждающий направление отзыва другим лицам, участвующим в деле.</w:t>
      </w:r>
    </w:p>
    <w:p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Отзыв направляется заказным письмом с уведомлением о вручении в срок, обеспечивающий возможность ознакомления с ним до начала судебного заседания.</w:t>
      </w:r>
    </w:p>
    <w:p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Сообщить лицам, участвующим в деле, что информация о рассматриваемом деле размещается Четвертым арбитражным апелляционным судом на официальном сайте суда в сети Интернет: </w:t>
      </w:r>
      <w:hyperlink r:id="rId9" w:history="1">
        <w:r>
          <w:rPr>
            <w:color w:val="0000FF"/>
            <w:rFonts w:ascii="Courier New" w:hAnsi="Courier New" w:cs="Courier New"/>
          </w:rPr>
          <w:t xml:space="preserve">https://4aas.arbitr.ru/</w:t>
        </w:r>
      </w:hyperlink>
      <w:r>
        <w:rPr>
          <w:rFonts w:ascii="Courier New" w:hAnsi="Courier New" w:cs="Courier New"/>
        </w:rPr>
        <w:t xml:space="preserve">, официальном сайте Картотеки арбитражных дел </w:t>
      </w:r>
      <w:hyperlink r:id="rId10" w:history="1">
        <w:r>
          <w:rPr>
            <w:color w:val="0000FF"/>
            <w:rFonts w:ascii="Courier New" w:hAnsi="Courier New" w:cs="Courier New"/>
          </w:rPr>
          <w:t xml:space="preserve">https://kad.arbitr.ru/</w:t>
        </w:r>
      </w:hyperlink>
      <w:r>
        <w:rPr>
          <w:rFonts w:ascii="Courier New" w:hAnsi="Courier New" w:cs="Courier New"/>
        </w:rPr>
        <w:t xml:space="preserve">.</w:t>
      </w:r>
    </w:p>
    <w:p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Лицам, участвующим в деле, при себе иметь документ, удостоверяющий личность, а представителям при себе иметь документ, удостоверяющий личность, подлинники документов, подтверждающих полномочия представителей, а также документы о высшем юридическом образовании или об ученой степени по юридической специальности. </w:t>
      </w:r>
    </w:p>
    <w:p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При невозможности обеспечения явки представителей в судебное заседание известить суд телеграммой, по факсу или электронным способом.</w:t>
      </w:r>
    </w:p>
    <w:p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Кроме того информацию о деле можно получить по телефонам: +7 (3022) 35-96-26, 35-96-24 (канцелярия); +7 (3022) 35-71-28, 35-70-85 (факс).</w:t>
      </w:r>
    </w:p>
    <w:p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Суд апелляционной инстанции разъясняет, что дополнительные доказательства согласно части 2 статьи 268 Арбитражного процессуального кодекса Российской Федерации принимаются арбитражным судом апелляционной инстанции, если лицо, участвующее в деле, обосновало невозможность их представления в суд первой инстанции по причинам, не зависящим от него, в том числе в случае, если судом первой инстанции было отклонено ходатайство об истребовании доказательств, и суд признает эти причины уважительными.</w:t>
      </w:r>
    </w:p>
    <w:p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Суд апелляционной инстанции разъясняет, что дополнительные доказательства согласно части 2 статьи 268 Арбитражного процессуального кодекса Российской Федерации принимаются арбитражным судом апелляционной инстанции, если лицо, участвующее в деле, обосновало невозможность их представления в суд первой инстанции по причинам, не зависящим от него, в том числе в случае, если судом первой инстанции было отклонено ходатайство об истребовании доказательств, и суд признает эти причины уважительными.</w:t>
      </w:r>
    </w:p>
    <w:p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Дополнительные документы и отзывы могут быть также направлены в электронном виде по адресу:&amp;amp;amp;nbsp;</w:t>
      </w:r>
      <w:hyperlink r:id="rId11" w:history="1">
        <w:r>
          <w:rPr>
            <w:color w:val="0000FF"/>
            <w:rFonts w:ascii="Courier New" w:hAnsi="Courier New" w:cs="Courier New"/>
          </w:rPr>
          <w:t xml:space="preserve">https://kad.arbitr.ru/</w:t>
        </w:r>
      </w:hyperlink>
      <w:r>
        <w:rPr>
          <w:rFonts w:ascii="Courier New" w:hAnsi="Courier New" w:cs="Courier New"/>
        </w:rPr>
        <w:t xml:space="preserve">, факсимильной связью по тел. +7 (3022) 35-70-85, +7 (3022) 35-71-28.&amp;amp;amp;nbsp;</w:t>
      </w:r>
    </w:p>
    <w:p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Злоупотребление процессуальными правами лицами, участвующими в деле, влечет за собой для этих лиц предусмотренные настоящим Кодексом неблагоприятные последствия.</w:t>
      </w:r>
    </w:p>
    <w:p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Настоящее определение выполнено в форме электронного документа, подписанного усиленной квалифицированной электронной подписью судьи, в связи, с чем направляется лицам, участвующим в деле, посредством его размещения на официальном сайте суда в сети Интернет </w:t>
      </w:r>
      <w:hyperlink r:id="rId12" w:history="1">
        <w:r>
          <w:rPr>
            <w:color w:val="0000FF"/>
            <w:rFonts w:ascii="Courier New" w:hAnsi="Courier New" w:cs="Courier New"/>
          </w:rPr>
          <w:t xml:space="preserve">https://kad.arbitr.ru/</w:t>
        </w:r>
      </w:hyperlink>
      <w:r>
        <w:rPr>
          <w:rFonts w:ascii="Courier New" w:hAnsi="Courier New" w:cs="Courier New"/>
        </w:rPr>
        <w:t xml:space="preserve">.</w:t>
      </w:r>
    </w:p>
    <w:p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По ходатайству лиц, участвующих в деле, копия определения на бумажном носителе может быть направлена им в пятидневный срок со дня поступления соответствующего ходатайства </w:t>
      </w:r>
      <w:r>
        <w:rPr>
          <w:rFonts w:ascii="Courier New" w:hAnsi="Courier New" w:cs="Courier New"/>
        </w:rPr>
        <w:t xml:space="preserve">заказным письмом с уведомлением о вручении или вручена им под расписку.</w:t>
      </w:r>
    </w:p>
    <w:p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При направлении документов в суд следует ссылаться на номер дела </w:t>
      </w:r>
      <w:r>
        <w:rPr>
          <w:rFonts w:ascii="Courier New" w:hAnsi="Courier New" w:cs="Courier New"/>
        </w:rPr>
        <w:t xml:space="preserve">А10-4698/21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04АП-7044/21</w:t>
      </w:r>
      <w:r>
        <w:rPr>
          <w:rFonts w:ascii="Courier New" w:hAnsi="Courier New" w:cs="Courier New"/>
        </w:rPr>
        <w:t xml:space="preserve">.</w:t>
      </w:r>
    </w:p>
    <w:p>
      <w:pPr>
        <w:spacing w:line="360" w:lineRule="auto"/>
        <w:jc w:val="both"/>
        <w:ind w:firstLine="709"/>
      </w:pPr>
    </w:p>
    <w:tbl>
      <w:tblPr/>
      <w:tblGrid>
        <w:gridCol w:w="4219"/>
        <w:gridCol w:w="5387"/>
        <w:gridCol w:w=""/>
        <w:gridCol w:w=""/>
        <w:gridCol w:w=""/>
      </w:tblGrid>
      <w:tr>
        <w:trPr/>
        <w:tc>
          <w:tcPr/>
          <w:p>
            <w:pPr>
              <w:spacing w:line="360" w:lineRule="auto"/>
            </w:pPr>
            <w:r>
              <w:rPr>
                <w:rFonts w:ascii="Courier New" w:hAnsi="Courier New" w:cs="Courier New"/>
              </w:rPr>
              <w:t xml:space="preserve">Судья</w:t>
            </w:r>
          </w:p>
        </w:tc>
        <w:tc>
          <w:tcPr/>
          <w:p>
            <w:pPr>
              <w:spacing w:line="360" w:lineRule="auto"/>
              <w:jc w:val="right"/>
              <w:ind w:firstLine="34"/>
            </w:pPr>
            <w:r>
              <w:rPr>
                <w:rFonts w:ascii="Courier New" w:hAnsi="Courier New" w:cs="Courier New"/>
              </w:rPr>
              <w:t xml:space="preserve">Сидоренко В. А.</w:t>
            </w:r>
          </w:p>
        </w:tc>
      </w:tr>
    </w:tbl>
    <w:p>
      <w:pPr>
        <w:spacing w:line="360" w:lineRule="auto"/>
      </w:pPr>
    </w:p>
    <w:p>
      <w:pPr/>
    </w:p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A3889" w:rsidRDefault="003A3889" w:rsidP="00A062E6">
      <w:r>
        <w:separator/>
      </w:r>
    </w:p>
  </w:endnote>
  <w:endnote w:type="continuationSeparator" w:id="0">
    <w:p w:rsidR="003A3889" w:rsidRDefault="003A3889" w:rsidP="00A062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31D6" w:rsidRDefault="00A431D6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31D6" w:rsidRDefault="00A431D6">
    <w:pPr>
      <w:pStyle w:val="a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31D6" w:rsidRDefault="00A431D6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A3889" w:rsidRDefault="003A3889" w:rsidP="00A062E6">
      <w:r>
        <w:separator/>
      </w:r>
    </w:p>
  </w:footnote>
  <w:footnote w:type="continuationSeparator" w:id="0">
    <w:p w:rsidR="003A3889" w:rsidRDefault="003A3889" w:rsidP="00A062E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31D6" w:rsidRDefault="00A431D6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31D6" w:rsidRDefault="00A431D6">
    <w:pPr>
      <w:pStyle w:val="a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31D6" w:rsidRDefault="00A431D6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60160E0"/>
    <w:multiLevelType w:val="hybridMultilevel"/>
    <w:tmpl w:val="7FF44C66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>
      <w:start w:val="1"/>
      <w:numFmt w:val="lowerLetter"/>
      <w:lvlText w:val="%2."/>
      <w:lvlJc w:val="left"/>
      <w:pPr>
        <w:ind w:left="1865" w:hanging="360"/>
      </w:pPr>
    </w:lvl>
    <w:lvl w:ilvl="2" w:tplc="0419001B">
      <w:start w:val="1"/>
      <w:numFmt w:val="lowerRoman"/>
      <w:lvlText w:val="%3."/>
      <w:lvlJc w:val="right"/>
      <w:pPr>
        <w:ind w:left="2585" w:hanging="180"/>
      </w:pPr>
    </w:lvl>
    <w:lvl w:ilvl="3" w:tplc="0419000F">
      <w:start w:val="1"/>
      <w:numFmt w:val="decimal"/>
      <w:lvlText w:val="%4."/>
      <w:lvlJc w:val="left"/>
      <w:pPr>
        <w:ind w:left="3305" w:hanging="360"/>
      </w:pPr>
    </w:lvl>
    <w:lvl w:ilvl="4" w:tplc="04190019">
      <w:start w:val="1"/>
      <w:numFmt w:val="lowerLetter"/>
      <w:lvlText w:val="%5."/>
      <w:lvlJc w:val="left"/>
      <w:pPr>
        <w:ind w:left="4025" w:hanging="360"/>
      </w:pPr>
    </w:lvl>
    <w:lvl w:ilvl="5" w:tplc="0419001B">
      <w:start w:val="1"/>
      <w:numFmt w:val="lowerRoman"/>
      <w:lvlText w:val="%6."/>
      <w:lvlJc w:val="right"/>
      <w:pPr>
        <w:ind w:left="4745" w:hanging="180"/>
      </w:pPr>
    </w:lvl>
    <w:lvl w:ilvl="6" w:tplc="0419000F">
      <w:start w:val="1"/>
      <w:numFmt w:val="decimal"/>
      <w:lvlText w:val="%7."/>
      <w:lvlJc w:val="left"/>
      <w:pPr>
        <w:ind w:left="5465" w:hanging="360"/>
      </w:pPr>
    </w:lvl>
    <w:lvl w:ilvl="7" w:tplc="04190019">
      <w:start w:val="1"/>
      <w:numFmt w:val="lowerLetter"/>
      <w:lvlText w:val="%8."/>
      <w:lvlJc w:val="left"/>
      <w:pPr>
        <w:ind w:left="6185" w:hanging="360"/>
      </w:pPr>
    </w:lvl>
    <w:lvl w:ilvl="8" w:tplc="0419001B">
      <w:start w:val="1"/>
      <w:numFmt w:val="lowerRoman"/>
      <w:lvlText w:val="%9."/>
      <w:lvlJc w:val="right"/>
      <w:pPr>
        <w:ind w:left="690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56F5"/>
    <w:rsid w:val="001656DB"/>
    <w:rsid w:val="001B589F"/>
    <w:rsid w:val="001C2116"/>
    <w:rsid w:val="001E6FD8"/>
    <w:rsid w:val="002178EC"/>
    <w:rsid w:val="002432C1"/>
    <w:rsid w:val="00277BD8"/>
    <w:rsid w:val="0037530E"/>
    <w:rsid w:val="003A3889"/>
    <w:rsid w:val="00420118"/>
    <w:rsid w:val="004828E1"/>
    <w:rsid w:val="004D1331"/>
    <w:rsid w:val="005217D1"/>
    <w:rsid w:val="005B64DE"/>
    <w:rsid w:val="00610DB3"/>
    <w:rsid w:val="006501C3"/>
    <w:rsid w:val="007664B9"/>
    <w:rsid w:val="0078455B"/>
    <w:rsid w:val="007F27DC"/>
    <w:rsid w:val="007F74D4"/>
    <w:rsid w:val="00800071"/>
    <w:rsid w:val="008256C7"/>
    <w:rsid w:val="008C7DFE"/>
    <w:rsid w:val="00A062E6"/>
    <w:rsid w:val="00A431D6"/>
    <w:rsid w:val="00A56A79"/>
    <w:rsid w:val="00A67641"/>
    <w:rsid w:val="00A966DA"/>
    <w:rsid w:val="00AA13E2"/>
    <w:rsid w:val="00AF71A7"/>
    <w:rsid w:val="00C066FF"/>
    <w:rsid w:val="00C32B07"/>
    <w:rsid w:val="00CC3078"/>
    <w:rsid w:val="00D52DC2"/>
    <w:rsid w:val="00D74A4B"/>
    <w:rsid w:val="00E27859"/>
    <w:rsid w:val="00F268F0"/>
    <w:rsid w:val="00FA2565"/>
    <w:rsid w:val="00FC5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5:docId w15:val="{E385FD71-C514-42CC-8138-518FA3CB5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F74D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062E6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A062E6"/>
  </w:style>
  <w:style w:type="paragraph" w:styleId="a5">
    <w:name w:val="footer"/>
    <w:basedOn w:val="a"/>
    <w:link w:val="a6"/>
    <w:uiPriority w:val="99"/>
    <w:unhideWhenUsed/>
    <w:rsid w:val="00A062E6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A062E6"/>
  </w:style>
  <w:style w:type="paragraph" w:styleId="a7">
    <w:name w:val="Balloon Text"/>
    <w:basedOn w:val="a"/>
    <w:link w:val="a8"/>
    <w:uiPriority w:val="99"/>
    <w:semiHidden/>
    <w:unhideWhenUsed/>
    <w:rsid w:val="007F74D4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7F74D4"/>
    <w:rPr>
      <w:rFonts w:ascii="Tahoma" w:eastAsia="Times New Roman" w:hAnsi="Tahoma" w:cs="Tahoma"/>
      <w:sz w:val="16"/>
      <w:szCs w:val="16"/>
      <w:lang w:eastAsia="ru-RU"/>
    </w:rPr>
  </w:style>
  <w:style w:type="table" w:styleId="a9">
    <w:name w:val="Table Grid"/>
    <w:basedOn w:val="a1"/>
    <w:uiPriority w:val="39"/>
    <w:rsid w:val="00FA256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4aas.arbitr.ru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hyperlink" Target="https://kad.arbitr.ru/" TargetMode="External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kad.arbitr.ru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kad.arbitr.ru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4aas.arbitr.ru/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Рабочий Офицальный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1560</TotalTime>
  <Pages>4</Pages>
  <Words>827</Words>
  <Characters>4717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Васильев Иван Вячеславович</dc:creator>
  <cp:keywords/>
  <dc:description/>
  <cp:lastModifiedBy>Александр Раменский</cp:lastModifiedBy>
  <cp:revision>6</cp:revision>
  <dcterms:created xsi:type="dcterms:W3CDTF">2022-07-15T07:28:00Z</dcterms:created>
  <dcterms:modified xsi:type="dcterms:W3CDTF">2023-01-31T09:59:00Z</dcterms:modified>
</cp:coreProperties>
</file>