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Test Case: &lt;Test Case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Identifier Number: &lt;Identifier&gt;</w:t>
        <w:br w:type="textWrapping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Category: &lt;Test Case Category&gt;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</w:p>
    <w:tbl>
      <w:tblPr>
        <w:tblStyle w:val="Table1"/>
        <w:bidi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Test Case: &lt;Test Case Name&gt; 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Este documento cubre el conjunto de pruebas realizadas sobre el caso de uso “Retiro de dinero”.</w:t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Basado  en el flujo de eventos descritos en los escenarios de este caso de uso se deduce la siguiente matriz de decisión:</w:t>
      </w:r>
    </w:p>
    <w:tbl>
      <w:tblPr>
        <w:tblStyle w:val="Table2"/>
        <w:bidi w:val="0"/>
        <w:tblW w:w="9480.0" w:type="dxa"/>
        <w:jc w:val="center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7"/>
        <w:gridCol w:w="1301"/>
        <w:gridCol w:w="618"/>
        <w:gridCol w:w="753"/>
        <w:gridCol w:w="1367"/>
        <w:gridCol w:w="935"/>
        <w:gridCol w:w="935"/>
        <w:gridCol w:w="1457"/>
        <w:gridCol w:w="1457"/>
        <w:tblGridChange w:id="0">
          <w:tblGrid>
            <w:gridCol w:w="657"/>
            <w:gridCol w:w="1301"/>
            <w:gridCol w:w="618"/>
            <w:gridCol w:w="753"/>
            <w:gridCol w:w="1367"/>
            <w:gridCol w:w="935"/>
            <w:gridCol w:w="935"/>
            <w:gridCol w:w="1457"/>
            <w:gridCol w:w="145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TC 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/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PIN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Cuenta #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Cantidad ingresada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(o seleccionada)</w:t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Cantidad en la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Cantidad en el cajero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1 – Retiro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Retiro exitoso. Saldo de la cuenta actualizado en 450.00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2 – cajero sin dinero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Opción de retiro no disponible, fin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3 – fondos insuficientes en el cajero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70.00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6 del flujo básico – Ingresar 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– PIN Incorrecto (&gt; 1 oportunidad)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4 del flujo básico, Ingresar  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4 - Incorrecto PIN (= 1 oportunidad)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4 del flujo básico, Ingresar  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– Incorrecto PIN (= 0  oportunidades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Quedan)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 tarjeta es retenida y se termina 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[A special requirement is typically an out of ordinary requirement that is specific to a test case, but is not easily or naturally specified in the text of the test case’s event flow. Examples of special requirements include: Install-on-Windows test case requires a Windows computer, existence of Oracle database for Oracle importe, etc.]</w:t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&lt; First Special Requirement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ymbo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Fonts w:ascii="Noto Symbol" w:cs="Noto Symbol" w:eastAsia="Noto Symbol" w:hAnsi="Noto Symbol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Company, 2009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Proyect name: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Test Case: &lt;Test Case Name&gt;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Identifier: TC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footer" Target="footer.xml"/></Relationships>
</file>