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Test Case: &lt;Test Case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Identifier Number: &lt;Identifier&gt;</w:t>
        <w:br w:type="textWrapping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Category: &lt;Test Case Category&gt;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</w:p>
    <w:tbl>
      <w:tblPr>
        <w:tblStyle w:val="Table1"/>
        <w:bidi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diciembre/15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</w:t>
            </w: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actualizacion de los 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Borboa Lopez Jesus Bernardo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Test Case: &lt;Test Case Name&gt; 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Este documento cubre el conjunto de pruebas realizadas sobre el caso de uso “Retiro de dinero”.</w:t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Basado  en el flujo de eventos descritos en los escenarios de este caso de uso se deduce la siguiente matriz de decisión:</w:t>
      </w:r>
    </w:p>
    <w:tbl>
      <w:tblPr>
        <w:tblStyle w:val="Table2"/>
        <w:bidi w:val="0"/>
        <w:tblW w:w="9480.0" w:type="dxa"/>
        <w:jc w:val="center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7"/>
        <w:gridCol w:w="1301"/>
        <w:gridCol w:w="618"/>
        <w:gridCol w:w="753"/>
        <w:gridCol w:w="1367"/>
        <w:gridCol w:w="935"/>
        <w:gridCol w:w="935"/>
        <w:gridCol w:w="1457"/>
        <w:gridCol w:w="1457"/>
        <w:tblGridChange w:id="0">
          <w:tblGrid>
            <w:gridCol w:w="657"/>
            <w:gridCol w:w="1301"/>
            <w:gridCol w:w="618"/>
            <w:gridCol w:w="753"/>
            <w:gridCol w:w="1367"/>
            <w:gridCol w:w="935"/>
            <w:gridCol w:w="935"/>
            <w:gridCol w:w="1457"/>
            <w:gridCol w:w="145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TC 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/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PIN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Cuenta #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Cantidad ingresada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(o seleccionada)</w:t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Cantidad en la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Cantidad en el cajero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1 – Retiro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Retiro exitoso. Saldo de la cuenta actualizado en 450.00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2 – cajero sin dinero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Opción de retiro no disponible, fin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3 – fondos insuficientes en el cajero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70.00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6 del flujo básico – Ingresar 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– PIN Incorrecto (&gt; 1 oportunidad)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4 del flujo básico, Ingresar  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4 - Incorrecto PIN (= 1 oportunidad)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4 del flujo básico, Ingresar  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– Incorrecto PIN (= 0  oportunidades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Quedan)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 tarjeta es retenida y se termina 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[A special requirement is typically an out of ordinary requirement that is specific to a test case, but is not easily or naturally specified in the text of the test case’s event flow. Examples of special requirements include: Install-on-Windows test case requires a Windows computer, existence of Oracle database for Oracle importe, etc.]</w:t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&lt; First Special Requirement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ymbo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Fonts w:ascii="Noto Symbol" w:cs="Noto Symbol" w:eastAsia="Noto Symbol" w:hAnsi="Noto Symbol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Company, 2009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Proyect name: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Test Case: &lt;Test Case Name&gt;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Identifier: TC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footer" Target="footer.xml"/></Relationships>
</file>