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Arial" w:hAnsi="Arial" w:eastAsia="微软雅黑"/>
          <w:b/>
          <w:color w:val="1A1A1A"/>
          <w:sz w:val="48"/>
        </w:rPr>
        <w:t>2026 Q2 销售周报</w:t>
      </w:r>
    </w:p>
    <w:p>
      <w:pPr>
        <w:spacing w:after="240"/>
        <w:jc w:val="center"/>
      </w:pPr>
      <w:r>
        <w:rPr>
          <w:rFonts w:ascii="Arial" w:hAnsi="Arial" w:eastAsia="微软雅黑"/>
          <w:color w:val="666666"/>
          <w:sz w:val="22"/>
        </w:rPr>
        <w:t>PRO-DOCX v1.7.0</w:t>
      </w:r>
    </w:p>
    <w:p>
      <w:pPr>
        <w:pStyle w:val="Heading1"/>
      </w:pPr>
      <w:r>
        <w:rPr>
          <w:rFonts w:ascii="Arial" w:hAnsi="Arial" w:eastAsia="微软雅黑"/>
          <w:color w:val="1A1A1A"/>
        </w:rPr>
        <w:t>执行摘要</w:t>
      </w:r>
    </w:p>
    <w:p>
      <w:pPr>
        <w:spacing w:line="276" w:lineRule="auto" w:after="80"/>
        <w:ind w:firstLine="0"/>
        <w:jc w:val="left"/>
      </w:pPr>
      <w:r>
        <w:rPr>
          <w:rFonts w:ascii="Arial" w:hAnsi="Arial" w:eastAsia="微软雅黑"/>
          <w:color w:val="333333"/>
          <w:sz w:val="22"/>
        </w:rPr>
        <w:t>本周完成 23 单 / 转化率 18.4%，环比+10.5%。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E7F3F8"/>
            <w:tcBorders>
              <w:top w:val="single" w:sz="8" w:color="2E75B6"/>
              <w:bottom w:val="single" w:sz="8" w:color="2E75B6"/>
              <w:left w:val="single" w:sz="8" w:color="2E75B6"/>
              <w:right w:val="single" w:sz="8" w:color="2E75B6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1A1A1A"/>
                <w:sz w:val="22"/>
              </w:rPr>
              <w:t>重点</w:t>
              <w:br/>
            </w:r>
            <w:r>
              <w:rPr>
                <w:rFonts w:ascii="Arial" w:hAnsi="Arial" w:eastAsia="微软雅黑"/>
                <w:color w:val="333333"/>
                <w:sz w:val="22"/>
              </w:rPr>
              <w:t>新增 4 家头部客户，A 类产品占比提升至 41%。</w:t>
            </w:r>
          </w:p>
        </w:tc>
      </w:tr>
    </w:tbl>
    <w:p>
      <w:pPr>
        <w:spacing w:after="80"/>
      </w:pPr>
    </w:p>
    <w:p>
      <w:pPr>
        <w:spacing w:line="276" w:lineRule="auto" w:after="80"/>
        <w:ind w:firstLine="0"/>
        <w:jc w:val="left"/>
      </w:pPr>
      <w:r>
        <w:rPr>
          <w:rFonts w:ascii="Arial" w:hAnsi="Arial" w:eastAsia="微软雅黑"/>
          <w:color w:val="333333"/>
          <w:sz w:val="22"/>
        </w:rPr>
        <w:t>整体节奏符合 Q2 预算；下周一开展大客户回访。</w:t>
      </w:r>
    </w:p>
    <w:p>
      <w:pPr>
        <w:pStyle w:val="Heading1"/>
      </w:pPr>
      <w:r>
        <w:rPr>
          <w:rFonts w:ascii="Arial" w:hAnsi="Arial" w:eastAsia="微软雅黑"/>
          <w:color w:val="1A1A1A"/>
        </w:rPr>
        <w:t>关键数据</w:t>
      </w:r>
    </w:p>
    <w:p>
      <w:pPr>
        <w:spacing w:before="120" w:after="60"/>
        <w:jc w:val="center"/>
      </w:pPr>
      <w:r>
        <w:rPr>
          <w:rFonts w:ascii="Arial" w:hAnsi="Arial" w:eastAsia="微软雅黑"/>
          <w:color w:val="666666"/>
          <w:sz w:val="20"/>
        </w:rPr>
      </w:r>
      <w:r>
        <w:rPr>
          <w:rFonts w:ascii="Arial" w:hAnsi="Arial" w:eastAsia="微软雅黑"/>
          <w:b/>
          <w:color w:val="666666"/>
          <w:sz w:val="20"/>
        </w:rPr>
        <w:t>表 1:</w:t>
      </w:r>
      <w:r>
        <w:rPr>
          <w:rFonts w:ascii="Arial" w:hAnsi="Arial" w:eastAsia="微软雅黑"/>
          <w:color w:val="666666"/>
          <w:sz w:val="20"/>
        </w:rPr>
        <w:t xml:space="preserve"> 周度销售数据（条件格式：YoY 自动染色）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cantSplit/>
          <w:tblHeader/>
        </w:trPr>
        <w:tc>
          <w:tcPr>
            <w:tcW w:type="dxa" w:w="2778"/>
            <w:vAlign w:val="center"/>
            <w:shd w:val="clear" w:color="auto" w:fill="2C3E5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2084"/>
            <w:vAlign w:val="center"/>
            <w:shd w:val="clear" w:color="auto" w:fill="2C3E5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2"/>
              </w:rPr>
              <w:t>上周</w:t>
            </w:r>
          </w:p>
        </w:tc>
        <w:tc>
          <w:tcPr>
            <w:tcW w:type="dxa" w:w="2084"/>
            <w:vAlign w:val="center"/>
            <w:shd w:val="clear" w:color="auto" w:fill="2C3E5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2"/>
              </w:rPr>
              <w:t>本周</w:t>
            </w:r>
          </w:p>
        </w:tc>
        <w:tc>
          <w:tcPr>
            <w:tcW w:type="dxa" w:w="2084"/>
            <w:vAlign w:val="center"/>
            <w:shd w:val="clear" w:color="auto" w:fill="2C3E5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22"/>
              </w:rPr>
              <w:t>环比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销售额（万元）</w:t>
            </w:r>
          </w:p>
        </w:tc>
        <w:tc>
          <w:tcPr>
            <w:tcW w:type="dxa" w:w="2084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320</w:t>
            </w:r>
          </w:p>
        </w:tc>
        <w:tc>
          <w:tcPr>
            <w:tcW w:type="dxa" w:w="2084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354</w:t>
            </w:r>
          </w:p>
        </w:tc>
        <w:tc>
          <w:tcPr>
            <w:tcW w:type="dxa" w:w="2084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0.105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val="clear" w:color="auto" w:fill="ECF0F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订单数</w:t>
            </w:r>
          </w:p>
        </w:tc>
        <w:tc>
          <w:tcPr>
            <w:tcW w:type="dxa" w:w="2084"/>
            <w:vAlign w:val="center"/>
            <w:shd w:val="clear" w:color="auto" w:fill="ECF0F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198</w:t>
            </w:r>
          </w:p>
        </w:tc>
        <w:tc>
          <w:tcPr>
            <w:tcW w:type="dxa" w:w="2084"/>
            <w:vAlign w:val="center"/>
            <w:shd w:val="clear" w:color="auto" w:fill="ECF0F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220</w:t>
            </w:r>
          </w:p>
        </w:tc>
        <w:tc>
          <w:tcPr>
            <w:tcW w:type="dxa" w:w="2084"/>
            <w:vAlign w:val="center"/>
            <w:shd w:val="clear" w:color="auto" w:fill="ECF0F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0.111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A 类订单占比</w:t>
            </w:r>
          </w:p>
        </w:tc>
        <w:tc>
          <w:tcPr>
            <w:tcW w:type="dxa" w:w="2084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0.32</w:t>
            </w:r>
          </w:p>
        </w:tc>
        <w:tc>
          <w:tcPr>
            <w:tcW w:type="dxa" w:w="2084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0.41</w:t>
            </w:r>
          </w:p>
        </w:tc>
        <w:tc>
          <w:tcPr>
            <w:tcW w:type="dxa" w:w="2084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0.281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val="clear" w:color="auto" w:fill="ECF0F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新客户数</w:t>
            </w:r>
          </w:p>
        </w:tc>
        <w:tc>
          <w:tcPr>
            <w:tcW w:type="dxa" w:w="2084"/>
            <w:vAlign w:val="center"/>
            <w:shd w:val="clear" w:color="auto" w:fill="ECF0F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6</w:t>
            </w:r>
          </w:p>
        </w:tc>
        <w:tc>
          <w:tcPr>
            <w:tcW w:type="dxa" w:w="2084"/>
            <w:vAlign w:val="center"/>
            <w:shd w:val="clear" w:color="auto" w:fill="ECF0F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10</w:t>
            </w:r>
          </w:p>
        </w:tc>
        <w:tc>
          <w:tcPr>
            <w:tcW w:type="dxa" w:w="2084"/>
            <w:vAlign w:val="center"/>
            <w:shd w:val="clear" w:color="auto" w:fill="ECF0F1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0.667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退款单</w:t>
            </w:r>
          </w:p>
        </w:tc>
        <w:tc>
          <w:tcPr>
            <w:tcW w:type="dxa" w:w="2084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4</w:t>
            </w:r>
          </w:p>
        </w:tc>
        <w:tc>
          <w:tcPr>
            <w:tcW w:type="dxa" w:w="2084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7</w:t>
            </w:r>
          </w:p>
        </w:tc>
        <w:tc>
          <w:tcPr>
            <w:tcW w:type="dxa" w:w="2084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color w:val="333333"/>
                <w:sz w:val="20"/>
              </w:rPr>
              <w:t>0.75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 w:eastAsia="微软雅黑"/>
          <w:color w:val="1A1A1A"/>
        </w:rPr>
        <w:t>风险与阻塞</w:t>
      </w:r>
    </w:p>
    <w:p>
      <w:pPr>
        <w:spacing w:line="276" w:lineRule="auto" w:after="80"/>
        <w:ind w:firstLine="0"/>
        <w:jc w:val="left"/>
      </w:pPr>
      <w:r>
        <w:rPr>
          <w:rFonts w:ascii="Arial" w:hAnsi="Arial" w:eastAsia="微软雅黑"/>
          <w:color w:val="333333"/>
          <w:sz w:val="22"/>
        </w:rPr>
        <w:t>退款单环比+75%，集中在 7 月新发批次，建议立刻排查。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FF4E5"/>
            <w:tcBorders>
              <w:top w:val="single" w:sz="8" w:color="ED7D31"/>
              <w:bottom w:val="single" w:sz="8" w:color="ED7D31"/>
              <w:left w:val="single" w:sz="8" w:color="ED7D31"/>
              <w:right w:val="single" w:sz="8" w:color="ED7D31"/>
            </w:tcBorders>
          </w:tcPr>
          <w:p>
            <w:pPr>
              <w:jc w:val="left"/>
            </w:pPr>
            <w:r/>
            <w:r>
              <w:rPr>
                <w:rFonts w:ascii="Arial" w:hAnsi="Arial" w:eastAsia="微软雅黑"/>
                <w:b/>
                <w:color w:val="1A1A1A"/>
                <w:sz w:val="22"/>
              </w:rPr>
              <w:t>阻塞</w:t>
              <w:br/>
            </w:r>
            <w:r>
              <w:rPr>
                <w:rFonts w:ascii="Arial" w:hAnsi="Arial" w:eastAsia="微软雅黑"/>
                <w:color w:val="333333"/>
                <w:sz w:val="22"/>
              </w:rPr>
              <w:t>华东仓配送延迟 24h，已与物流方对接。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 w:eastAsia="微软雅黑"/>
          <w:color w:val="1A1A1A"/>
        </w:rPr>
        <w:t>下一步计划</w:t>
      </w:r>
    </w:p>
    <w:p>
      <w:pPr>
        <w:spacing w:line="276" w:lineRule="auto" w:after="80"/>
        <w:ind w:firstLine="0"/>
        <w:jc w:val="left"/>
      </w:pPr>
      <w:r>
        <w:rPr>
          <w:rFonts w:ascii="Arial" w:hAnsi="Arial" w:eastAsia="微软雅黑"/>
          <w:color w:val="333333"/>
          <w:sz w:val="22"/>
        </w:rPr>
        <w:t>1) 大客户回访 5 家；2) 退款排查 SOP 上线；3) A 类主推活动策划。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  <w:jc w:val="left"/>
    </w:pPr>
    <w:rPr>
      <w:rFonts w:ascii="Arial" w:hAnsi="Arial" w:eastAsia="微软雅黑"/>
      <w:b w:val="0"/>
      <w:i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jc w:val="left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i w:val="0"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76" w:lineRule="auto"/>
      <w:jc w:val="left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i w:val="0"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jc w:val="left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i w:val="0"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276" w:lineRule="auto"/>
      <w:jc w:val="left"/>
      <w:outlineLvl w:val="3"/>
    </w:pPr>
    <w:rPr>
      <w:rFonts w:asciiTheme="majorHAnsi" w:eastAsiaTheme="majorEastAsia" w:hAnsiTheme="majorHAnsi" w:cstheme="majorBidi" w:ascii="Arial" w:hAnsi="Arial" w:eastAsia="微软雅黑"/>
      <w:b/>
      <w:bCs/>
      <w:i w:val="0"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276" w:lineRule="auto"/>
      <w:jc w:val="left"/>
      <w:outlineLvl w:val="4"/>
    </w:pPr>
    <w:rPr>
      <w:rFonts w:asciiTheme="majorHAnsi" w:eastAsiaTheme="majorEastAsia" w:hAnsiTheme="majorHAnsi" w:cstheme="majorBidi" w:ascii="Arial" w:hAnsi="Arial" w:eastAsia="微软雅黑"/>
      <w:b/>
      <w:i w:val="0"/>
      <w:color w:val="1A1A1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76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微软雅黑"/>
      <w:b/>
      <w:i w:val="0"/>
      <w:color w:val="1A1A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Q2 销售周报</dc:title>
  <dc:subject/>
  <dc:creator>PRO-DOCX v1.7.0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