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1A"/>
          <w:sz w:val="36"/>
        </w:rPr>
        <w:t>pro-docx-gen v1.7.0 — 表格引擎 5 项新能力 Demo</w:t>
      </w:r>
    </w:p>
    <w:p>
      <w:pPr>
        <w:jc w:val="center"/>
      </w:pPr>
      <w:r>
        <w:rPr>
          <w:i/>
          <w:color w:val="666666"/>
          <w:sz w:val="22"/>
        </w:rPr>
        <w:t>条件格式 / 进度条 / 星级评分 / 多表头合并 / 自动计算</w:t>
      </w:r>
    </w:p>
    <w:p/>
    <w:p>
      <w:r>
        <w:rPr>
          <w:b/>
          <w:color w:val="1A1A1A"/>
          <w:sz w:val="28"/>
        </w:rPr>
        <w:t>1. 条件格式 + 进度条 + 星级评分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16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44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数值</w:t>
            </w:r>
          </w:p>
        </w:tc>
        <w:tc>
          <w:tcPr>
            <w:tcW w:type="dxa" w:w="144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同比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完成度</w:t>
            </w:r>
          </w:p>
        </w:tc>
        <w:tc>
          <w:tcPr>
            <w:tcW w:type="dxa" w:w="2016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评分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color w:val="1A1A1A"/>
                <w:sz w:val="20"/>
              </w:rPr>
              <w:t>营收增长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color w:val="333333"/>
                <w:sz w:val="20"/>
              </w:rPr>
              <w:t>10.5%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E7C3A"/>
                <w:sz w:val="20"/>
              </w:rPr>
              <w:t>10.5%</w:t>
            </w:r>
          </w:p>
        </w:tc>
        <w:tc>
          <w:tcPr>
            <w:tcW w:type="dxa" w:w="2880"/>
          </w:tcPr>
          <w:p>
            <w:pPr>
              <w:spacing w:before="0" w:after="0"/>
              <w:jc w:val="left"/>
            </w:pPr>
            <w:r/>
            <w:r>
              <w:rPr>
                <w:rFonts w:ascii="Consolas" w:hAnsi="Consolas" w:eastAsia="宋体"/>
                <w:color w:val="0E7C3A"/>
                <w:sz w:val="20"/>
              </w:rPr>
              <w:t>████████████████░░░░</w:t>
            </w:r>
            <w:r>
              <w:rPr>
                <w:rFonts w:ascii="Times New Roman" w:hAnsi="Times New Roman" w:eastAsia="宋体"/>
                <w:b/>
                <w:color w:val="333333"/>
                <w:sz w:val="18"/>
              </w:rPr>
              <w:t xml:space="preserve">  78%</w:t>
            </w:r>
          </w:p>
        </w:tc>
        <w:tc>
          <w:tcPr>
            <w:tcW w:type="dxa" w:w="201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color w:val="D97706"/>
                <w:sz w:val="24"/>
              </w:rPr>
              <w:t>★★★★⯨</w:t>
            </w:r>
            <w:r>
              <w:rPr>
                <w:rFonts w:ascii="Times New Roman" w:hAnsi="Times New Roman" w:eastAsia="宋体"/>
                <w:color w:val="666666"/>
                <w:sz w:val="18"/>
              </w:rPr>
              <w:t xml:space="preserve">  4.5/5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color w:val="1A1A1A"/>
                <w:sz w:val="20"/>
              </w:rPr>
              <w:t>净利润增长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color w:val="333333"/>
                <w:sz w:val="20"/>
              </w:rPr>
              <w:t>-3.2%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B91C1C"/>
                <w:sz w:val="20"/>
              </w:rPr>
              <w:t>-3.2%</w:t>
            </w:r>
          </w:p>
        </w:tc>
        <w:tc>
          <w:tcPr>
            <w:tcW w:type="dxa" w:w="2880"/>
          </w:tcPr>
          <w:p>
            <w:pPr>
              <w:spacing w:before="0" w:after="0"/>
              <w:jc w:val="left"/>
            </w:pPr>
            <w:r/>
            <w:r>
              <w:rPr>
                <w:rFonts w:ascii="Consolas" w:hAnsi="Consolas" w:eastAsia="宋体"/>
                <w:color w:val="B45309"/>
                <w:sz w:val="20"/>
              </w:rPr>
              <w:t>███████████░░░░░░░░░</w:t>
            </w:r>
            <w:r>
              <w:rPr>
                <w:rFonts w:ascii="Times New Roman" w:hAnsi="Times New Roman" w:eastAsia="宋体"/>
                <w:b/>
                <w:color w:val="333333"/>
                <w:sz w:val="18"/>
              </w:rPr>
              <w:t xml:space="preserve">  55%</w:t>
            </w:r>
          </w:p>
        </w:tc>
        <w:tc>
          <w:tcPr>
            <w:tcW w:type="dxa" w:w="201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color w:val="D97706"/>
                <w:sz w:val="24"/>
              </w:rPr>
              <w:t>★★★☆☆</w:t>
            </w:r>
            <w:r>
              <w:rPr>
                <w:rFonts w:ascii="Times New Roman" w:hAnsi="Times New Roman" w:eastAsia="宋体"/>
                <w:color w:val="666666"/>
                <w:sz w:val="18"/>
              </w:rPr>
              <w:t xml:space="preserve">  3.0/5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color w:val="1A1A1A"/>
                <w:sz w:val="20"/>
              </w:rPr>
              <w:t>新客户获取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color w:val="333333"/>
                <w:sz w:val="20"/>
              </w:rPr>
              <w:t>23.1%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E7C3A"/>
                <w:sz w:val="20"/>
              </w:rPr>
              <w:t>23.1%</w:t>
            </w:r>
          </w:p>
        </w:tc>
        <w:tc>
          <w:tcPr>
            <w:tcW w:type="dxa" w:w="2880"/>
          </w:tcPr>
          <w:p>
            <w:pPr>
              <w:spacing w:before="0" w:after="0"/>
              <w:jc w:val="left"/>
            </w:pPr>
            <w:r/>
            <w:r>
              <w:rPr>
                <w:rFonts w:ascii="Consolas" w:hAnsi="Consolas" w:eastAsia="宋体"/>
                <w:color w:val="0E7C3A"/>
                <w:sz w:val="20"/>
              </w:rPr>
              <w:t>██████████████████░░</w:t>
            </w:r>
            <w:r>
              <w:rPr>
                <w:rFonts w:ascii="Times New Roman" w:hAnsi="Times New Roman" w:eastAsia="宋体"/>
                <w:b/>
                <w:color w:val="333333"/>
                <w:sz w:val="18"/>
              </w:rPr>
              <w:t xml:space="preserve">  92%</w:t>
            </w:r>
          </w:p>
        </w:tc>
        <w:tc>
          <w:tcPr>
            <w:tcW w:type="dxa" w:w="201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color w:val="D97706"/>
                <w:sz w:val="24"/>
              </w:rPr>
              <w:t>★★★★★</w:t>
            </w:r>
            <w:r>
              <w:rPr>
                <w:rFonts w:ascii="Times New Roman" w:hAnsi="Times New Roman" w:eastAsia="宋体"/>
                <w:color w:val="666666"/>
                <w:sz w:val="18"/>
              </w:rPr>
              <w:t xml:space="preserve">  5.0/5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color w:val="1A1A1A"/>
                <w:sz w:val="20"/>
              </w:rPr>
              <w:t>市场份额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color w:val="333333"/>
                <w:sz w:val="20"/>
              </w:rPr>
              <w:t>0.0%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666666"/>
                <w:sz w:val="20"/>
              </w:rPr>
              <w:t>0.0%</w:t>
            </w:r>
          </w:p>
        </w:tc>
        <w:tc>
          <w:tcPr>
            <w:tcW w:type="dxa" w:w="2880"/>
          </w:tcPr>
          <w:p>
            <w:pPr>
              <w:spacing w:before="0" w:after="0"/>
              <w:jc w:val="left"/>
            </w:pPr>
            <w:r/>
            <w:r>
              <w:rPr>
                <w:rFonts w:ascii="Consolas" w:hAnsi="Consolas" w:eastAsia="宋体"/>
                <w:color w:val="0E7C3A"/>
                <w:sz w:val="20"/>
              </w:rPr>
              <w:t>████████████░░░░░░░░</w:t>
            </w:r>
            <w:r>
              <w:rPr>
                <w:rFonts w:ascii="Times New Roman" w:hAnsi="Times New Roman" w:eastAsia="宋体"/>
                <w:b/>
                <w:color w:val="333333"/>
                <w:sz w:val="18"/>
              </w:rPr>
              <w:t xml:space="preserve">  60%</w:t>
            </w:r>
          </w:p>
        </w:tc>
        <w:tc>
          <w:tcPr>
            <w:tcW w:type="dxa" w:w="201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color w:val="D97706"/>
                <w:sz w:val="24"/>
              </w:rPr>
              <w:t>★★★⯨☆</w:t>
            </w:r>
            <w:r>
              <w:rPr>
                <w:rFonts w:ascii="Times New Roman" w:hAnsi="Times New Roman" w:eastAsia="宋体"/>
                <w:color w:val="666666"/>
                <w:sz w:val="18"/>
              </w:rPr>
              <w:t xml:space="preserve">  3.5/5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color w:val="1A1A1A"/>
                <w:sz w:val="20"/>
              </w:rPr>
              <w:t>NPS 评分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color w:val="333333"/>
                <w:sz w:val="20"/>
              </w:rPr>
              <w:t>—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666666"/>
                <w:sz w:val="20"/>
              </w:rPr>
              <w:t>—</w:t>
            </w:r>
          </w:p>
        </w:tc>
        <w:tc>
          <w:tcPr>
            <w:tcW w:type="dxa" w:w="2880"/>
          </w:tcPr>
          <w:p>
            <w:pPr>
              <w:spacing w:before="0" w:after="0"/>
              <w:jc w:val="left"/>
            </w:pPr>
            <w:r/>
            <w:r>
              <w:rPr>
                <w:rFonts w:ascii="Consolas" w:hAnsi="Consolas" w:eastAsia="宋体"/>
                <w:color w:val="B45309"/>
                <w:sz w:val="20"/>
              </w:rPr>
              <w:t>████████░░░░░░░░░░░░</w:t>
            </w:r>
            <w:r>
              <w:rPr>
                <w:rFonts w:ascii="Times New Roman" w:hAnsi="Times New Roman" w:eastAsia="宋体"/>
                <w:b/>
                <w:color w:val="333333"/>
                <w:sz w:val="18"/>
              </w:rPr>
              <w:t xml:space="preserve">  41%</w:t>
            </w:r>
          </w:p>
        </w:tc>
        <w:tc>
          <w:tcPr>
            <w:tcW w:type="dxa" w:w="201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color w:val="D97706"/>
                <w:sz w:val="24"/>
              </w:rPr>
              <w:t>★★⯨☆☆</w:t>
            </w:r>
            <w:r>
              <w:rPr>
                <w:rFonts w:ascii="Times New Roman" w:hAnsi="Times New Roman" w:eastAsia="宋体"/>
                <w:color w:val="666666"/>
                <w:sz w:val="18"/>
              </w:rPr>
              <w:t xml:space="preserve">  2.5/5</w:t>
            </w:r>
          </w:p>
        </w:tc>
      </w:tr>
    </w:tbl>
    <w:p/>
    <w:p>
      <w:r>
        <w:rPr>
          <w:b/>
          <w:color w:val="1A1A1A"/>
          <w:sz w:val="28"/>
        </w:rPr>
        <w:t>2. 多表头合并（二维表头）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016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008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2024</w:t>
            </w:r>
          </w:p>
        </w:tc>
        <w:tc>
          <w:tcPr>
            <w:tcW w:type="dxa" w:w="1008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2024</w:t>
            </w:r>
          </w:p>
        </w:tc>
        <w:tc>
          <w:tcPr>
            <w:tcW w:type="dxa" w:w="1008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2024</w:t>
            </w:r>
          </w:p>
        </w:tc>
        <w:tc>
          <w:tcPr>
            <w:tcW w:type="dxa" w:w="1008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2025E</w:t>
            </w:r>
          </w:p>
        </w:tc>
        <w:tc>
          <w:tcPr>
            <w:tcW w:type="dxa" w:w="1008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2025E</w:t>
            </w:r>
          </w:p>
        </w:tc>
        <w:tc>
          <w:tcPr>
            <w:tcW w:type="dxa" w:w="1008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2025E</w:t>
            </w:r>
          </w:p>
        </w:tc>
      </w:tr>
      <w:tr>
        <w:tc>
          <w:tcPr>
            <w:tcW w:type="dxa" w:w="2016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</w:r>
          </w:p>
        </w:tc>
        <w:tc>
          <w:tcPr>
            <w:tcW w:type="dxa" w:w="1008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Q1</w:t>
            </w:r>
          </w:p>
        </w:tc>
        <w:tc>
          <w:tcPr>
            <w:tcW w:type="dxa" w:w="1008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Q2</w:t>
            </w:r>
          </w:p>
        </w:tc>
        <w:tc>
          <w:tcPr>
            <w:tcW w:type="dxa" w:w="1008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Q3</w:t>
            </w:r>
          </w:p>
        </w:tc>
        <w:tc>
          <w:tcPr>
            <w:tcW w:type="dxa" w:w="1008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Q1E</w:t>
            </w:r>
          </w:p>
        </w:tc>
        <w:tc>
          <w:tcPr>
            <w:tcW w:type="dxa" w:w="1008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Q2E</w:t>
            </w:r>
          </w:p>
        </w:tc>
        <w:tc>
          <w:tcPr>
            <w:tcW w:type="dxa" w:w="1008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Q3E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color w:val="1A1A1A"/>
                <w:sz w:val="20"/>
              </w:rPr>
              <w:t>营收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color w:val="1A1A1A"/>
                <w:sz w:val="20"/>
              </w:rPr>
              <w:t>220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color w:val="1A1A1A"/>
                <w:sz w:val="20"/>
              </w:rPr>
              <w:t>240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color w:val="1A1A1A"/>
                <w:sz w:val="20"/>
              </w:rPr>
              <w:t>260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color w:val="1A1A1A"/>
                <w:sz w:val="20"/>
              </w:rPr>
              <w:t>250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color w:val="1A1A1A"/>
                <w:sz w:val="20"/>
              </w:rPr>
              <w:t>270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color w:val="1A1A1A"/>
                <w:sz w:val="20"/>
              </w:rPr>
              <w:t>290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color w:val="1A1A1A"/>
                <w:sz w:val="20"/>
              </w:rPr>
              <w:t>毛利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color w:val="1A1A1A"/>
                <w:sz w:val="20"/>
              </w:rPr>
              <w:t>95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color w:val="1A1A1A"/>
                <w:sz w:val="20"/>
              </w:rPr>
              <w:t>105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color w:val="1A1A1A"/>
                <w:sz w:val="20"/>
              </w:rPr>
              <w:t>112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color w:val="1A1A1A"/>
                <w:sz w:val="20"/>
              </w:rPr>
              <w:t>110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color w:val="1A1A1A"/>
                <w:sz w:val="20"/>
              </w:rPr>
              <w:t>120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color w:val="1A1A1A"/>
                <w:sz w:val="20"/>
              </w:rPr>
              <w:t>132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color w:val="1A1A1A"/>
                <w:sz w:val="20"/>
              </w:rPr>
              <w:t>净利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color w:val="1A1A1A"/>
                <w:sz w:val="20"/>
              </w:rPr>
              <w:t>30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color w:val="1A1A1A"/>
                <w:sz w:val="20"/>
              </w:rPr>
              <w:t>35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color w:val="1A1A1A"/>
                <w:sz w:val="20"/>
              </w:rPr>
              <w:t>38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color w:val="1A1A1A"/>
                <w:sz w:val="20"/>
              </w:rPr>
              <w:t>36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color w:val="1A1A1A"/>
                <w:sz w:val="20"/>
              </w:rPr>
              <w:t>42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color w:val="1A1A1A"/>
                <w:sz w:val="20"/>
              </w:rPr>
              <w:t>48</w:t>
            </w:r>
          </w:p>
        </w:tc>
      </w:tr>
    </w:tbl>
    <w:p/>
    <w:p>
      <w:r>
        <w:rPr>
          <w:b/>
          <w:color w:val="1A1A1A"/>
          <w:sz w:val="28"/>
        </w:rPr>
        <w:t>3. 自动计算：YoY 同比 + 汇总行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期间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营收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毛利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净利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营收 YoY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b/>
                <w:color w:val="1F3864"/>
                <w:sz w:val="20"/>
              </w:rPr>
              <w:t>合计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b/>
                <w:color w:val="1F3864"/>
                <w:sz w:val="20"/>
              </w:rPr>
              <w:t>1,810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b/>
                <w:color w:val="1F3864"/>
                <w:sz w:val="20"/>
              </w:rPr>
              <w:t>794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b/>
                <w:color w:val="1F3864"/>
                <w:sz w:val="20"/>
              </w:rPr>
              <w:t>271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b/>
                <w:color w:val="1F3864"/>
                <w:sz w:val="20"/>
              </w:rPr>
              <w:t>0.0%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color w:val="333333"/>
                <w:sz w:val="20"/>
              </w:rPr>
              <w:t>2024 Q1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color w:val="333333"/>
                <w:sz w:val="20"/>
              </w:rPr>
              <w:t>220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color w:val="333333"/>
                <w:sz w:val="20"/>
              </w:rPr>
              <w:t>95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color w:val="333333"/>
                <w:sz w:val="20"/>
              </w:rPr>
              <w:t>30</w:t>
            </w:r>
          </w:p>
        </w:tc>
        <w:tc>
          <w:tcPr>
            <w:tcW w:type="dxa" w:w="1872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666666"/>
                <w:sz w:val="20"/>
              </w:rPr>
              <w:t>0.0%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color w:val="333333"/>
                <w:sz w:val="20"/>
              </w:rPr>
              <w:t>2024 Q2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color w:val="333333"/>
                <w:sz w:val="20"/>
              </w:rPr>
              <w:t>240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color w:val="333333"/>
                <w:sz w:val="20"/>
              </w:rPr>
              <w:t>105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color w:val="333333"/>
                <w:sz w:val="20"/>
              </w:rPr>
              <w:t>35</w:t>
            </w:r>
          </w:p>
        </w:tc>
        <w:tc>
          <w:tcPr>
            <w:tcW w:type="dxa" w:w="1872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666666"/>
                <w:sz w:val="20"/>
              </w:rPr>
              <w:t>0.0%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color w:val="333333"/>
                <w:sz w:val="20"/>
              </w:rPr>
              <w:t>2024 Q3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color w:val="333333"/>
                <w:sz w:val="20"/>
              </w:rPr>
              <w:t>260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color w:val="333333"/>
                <w:sz w:val="20"/>
              </w:rPr>
              <w:t>112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color w:val="333333"/>
                <w:sz w:val="20"/>
              </w:rPr>
              <w:t>38</w:t>
            </w:r>
          </w:p>
        </w:tc>
        <w:tc>
          <w:tcPr>
            <w:tcW w:type="dxa" w:w="1872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666666"/>
                <w:sz w:val="20"/>
              </w:rPr>
              <w:t>0.0%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color w:val="333333"/>
                <w:sz w:val="20"/>
              </w:rPr>
              <w:t>2024 Q4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color w:val="333333"/>
                <w:sz w:val="20"/>
              </w:rPr>
              <w:t>280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color w:val="333333"/>
                <w:sz w:val="20"/>
              </w:rPr>
              <w:t>120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color w:val="333333"/>
                <w:sz w:val="20"/>
              </w:rPr>
              <w:t>42</w:t>
            </w:r>
          </w:p>
        </w:tc>
        <w:tc>
          <w:tcPr>
            <w:tcW w:type="dxa" w:w="1872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666666"/>
                <w:sz w:val="20"/>
              </w:rPr>
              <w:t>0.0%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color w:val="333333"/>
                <w:sz w:val="20"/>
              </w:rPr>
              <w:t>2025 Q1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color w:val="333333"/>
                <w:sz w:val="20"/>
              </w:rPr>
              <w:t>250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color w:val="333333"/>
                <w:sz w:val="20"/>
              </w:rPr>
              <w:t>110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color w:val="333333"/>
                <w:sz w:val="20"/>
              </w:rPr>
              <w:t>36</w:t>
            </w:r>
          </w:p>
        </w:tc>
        <w:tc>
          <w:tcPr>
            <w:tcW w:type="dxa" w:w="1872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666666"/>
                <w:sz w:val="20"/>
              </w:rPr>
              <w:t>0.0%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color w:val="333333"/>
                <w:sz w:val="20"/>
              </w:rPr>
              <w:t>2025 Q2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color w:val="333333"/>
                <w:sz w:val="20"/>
              </w:rPr>
              <w:t>270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color w:val="333333"/>
                <w:sz w:val="20"/>
              </w:rPr>
              <w:t>120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color w:val="333333"/>
                <w:sz w:val="20"/>
              </w:rPr>
              <w:t>42</w:t>
            </w:r>
          </w:p>
        </w:tc>
        <w:tc>
          <w:tcPr>
            <w:tcW w:type="dxa" w:w="1872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666666"/>
                <w:sz w:val="20"/>
              </w:rPr>
              <w:t>0.0%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color w:val="333333"/>
                <w:sz w:val="20"/>
              </w:rPr>
              <w:t>2025 Q3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color w:val="333333"/>
                <w:sz w:val="20"/>
              </w:rPr>
              <w:t>290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color w:val="333333"/>
                <w:sz w:val="20"/>
              </w:rPr>
              <w:t>132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color w:val="333333"/>
                <w:sz w:val="20"/>
              </w:rPr>
              <w:t>48</w:t>
            </w:r>
          </w:p>
        </w:tc>
        <w:tc>
          <w:tcPr>
            <w:tcW w:type="dxa" w:w="1872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666666"/>
                <w:sz w:val="20"/>
              </w:rPr>
              <w:t>0.0%</w:t>
            </w:r>
          </w:p>
        </w:tc>
      </w:tr>
    </w:tbl>
    <w:p/>
    <w:p>
      <w:r>
        <w:rPr>
          <w:b/>
          <w:color w:val="1A1A1A"/>
          <w:sz w:val="28"/>
        </w:rPr>
        <w:t>4. KPI 卡片行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257"/>
            <w:shd w:val="clear" w:color="auto" w:fill="F8F9FB"/>
            <w:vAlign w:val="center"/>
            <w:tcBorders>
              <w:top w:val="single" w:sz="4" w:color="DDDDDD"/>
              <w:bottom w:val="single" w:sz="4" w:color="DDDDDD"/>
              <w:left w:val="nil" w:sz="0" w:color="auto"/>
              <w:right w:val="single" w:sz="4" w:color="DDDDDD"/>
            </w:tcBorders>
          </w:tcPr>
          <w:p>
            <w:pPr>
              <w:spacing w:before="40" w:after="0"/>
              <w:jc w:val="center"/>
            </w:pPr>
            <w:r/>
            <w:r>
              <w:rPr>
                <w:rFonts w:ascii="Times New Roman" w:hAnsi="Times New Roman" w:eastAsia="宋体"/>
                <w:color w:val="666666"/>
                <w:sz w:val="18"/>
              </w:rPr>
              <w:t>总收入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color w:val="1A1A1A"/>
                <w:sz w:val="40"/>
              </w:rPr>
              <w:t>2934</w:t>
            </w:r>
            <w:r>
              <w:rPr>
                <w:rFonts w:ascii="Times New Roman" w:hAnsi="Times New Roman" w:eastAsia="宋体"/>
                <w:color w:val="666666"/>
                <w:sz w:val="20"/>
              </w:rPr>
              <w:t xml:space="preserve"> 亿元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color w:val="0E7C3A"/>
                <w:sz w:val="20"/>
              </w:rPr>
              <w:t>▲ +10.5%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 w:eastAsia="宋体"/>
                <w:color w:val="0E7C3A"/>
                <w:sz w:val="24"/>
              </w:rPr>
              <w:t xml:space="preserve"> ▃▄▅▆▇█</w:t>
            </w:r>
          </w:p>
        </w:tc>
        <w:tc>
          <w:tcPr>
            <w:tcW w:type="dxa" w:w="2257"/>
            <w:shd w:val="clear" w:color="auto" w:fill="F8F9FB"/>
            <w:vAlign w:val="center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40" w:after="0"/>
              <w:jc w:val="center"/>
            </w:pPr>
            <w:r/>
            <w:r>
              <w:rPr>
                <w:rFonts w:ascii="Times New Roman" w:hAnsi="Times New Roman" w:eastAsia="宋体"/>
                <w:color w:val="666666"/>
                <w:sz w:val="18"/>
              </w:rPr>
              <w:t>净利润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color w:val="1A1A1A"/>
                <w:sz w:val="40"/>
              </w:rPr>
              <w:t>119.6</w:t>
            </w:r>
            <w:r>
              <w:rPr>
                <w:rFonts w:ascii="Times New Roman" w:hAnsi="Times New Roman" w:eastAsia="宋体"/>
                <w:color w:val="666666"/>
                <w:sz w:val="20"/>
              </w:rPr>
              <w:t xml:space="preserve"> 亿元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color w:val="B91C1C"/>
                <w:sz w:val="20"/>
              </w:rPr>
              <w:t>▼ -15.2%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 w:eastAsia="宋体"/>
                <w:color w:val="B91C1C"/>
                <w:sz w:val="24"/>
              </w:rPr>
              <w:t xml:space="preserve">▇█▅▃▂▁ </w:t>
            </w:r>
          </w:p>
        </w:tc>
        <w:tc>
          <w:tcPr>
            <w:tcW w:type="dxa" w:w="2257"/>
            <w:shd w:val="clear" w:color="auto" w:fill="F8F9FB"/>
            <w:vAlign w:val="center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40" w:after="0"/>
              <w:jc w:val="center"/>
            </w:pPr>
            <w:r/>
            <w:r>
              <w:rPr>
                <w:rFonts w:ascii="Times New Roman" w:hAnsi="Times New Roman" w:eastAsia="宋体"/>
                <w:color w:val="666666"/>
                <w:sz w:val="18"/>
              </w:rPr>
              <w:t>毛利率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color w:val="1A1A1A"/>
                <w:sz w:val="40"/>
              </w:rPr>
              <w:t>43.8</w:t>
            </w:r>
            <w:r>
              <w:rPr>
                <w:rFonts w:ascii="Times New Roman" w:hAnsi="Times New Roman" w:eastAsia="宋体"/>
                <w:color w:val="666666"/>
                <w:sz w:val="20"/>
              </w:rPr>
              <w:t xml:space="preserve"> %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color w:val="0E7C3A"/>
                <w:sz w:val="20"/>
              </w:rPr>
              <w:t>▲ +0.5%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 w:eastAsia="宋体"/>
                <w:color w:val="0E7C3A"/>
                <w:sz w:val="24"/>
              </w:rPr>
              <w:t xml:space="preserve"> ▃▅▅███</w:t>
            </w:r>
          </w:p>
        </w:tc>
        <w:tc>
          <w:tcPr>
            <w:tcW w:type="dxa" w:w="2257"/>
            <w:shd w:val="clear" w:color="auto" w:fill="F8F9FB"/>
            <w:vAlign w:val="center"/>
            <w:tcBorders>
              <w:top w:val="single" w:sz="4" w:color="DDDDDD"/>
              <w:bottom w:val="single" w:sz="4" w:color="DDDDDD"/>
              <w:left w:val="single" w:sz="4" w:color="DDDDDD"/>
              <w:right w:val="nil" w:sz="0" w:color="auto"/>
            </w:tcBorders>
          </w:tcPr>
          <w:p>
            <w:pPr>
              <w:spacing w:before="40" w:after="0"/>
              <w:jc w:val="center"/>
            </w:pPr>
            <w:r/>
            <w:r>
              <w:rPr>
                <w:rFonts w:ascii="Times New Roman" w:hAnsi="Times New Roman" w:eastAsia="宋体"/>
                <w:color w:val="666666"/>
                <w:sz w:val="18"/>
              </w:rPr>
              <w:t>PE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color w:val="1A1A1A"/>
                <w:sz w:val="40"/>
              </w:rPr>
              <w:t>24.5</w:t>
            </w:r>
            <w:r>
              <w:rPr>
                <w:rFonts w:ascii="Times New Roman" w:hAnsi="Times New Roman" w:eastAsia="宋体"/>
                <w:color w:val="666666"/>
                <w:sz w:val="20"/>
              </w:rPr>
              <w:t xml:space="preserve"> x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color w:val="B91C1C"/>
                <w:sz w:val="20"/>
              </w:rPr>
              <w:t>▼ -5.0%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 w:eastAsia="宋体"/>
                <w:color w:val="B91C1C"/>
                <w:sz w:val="24"/>
              </w:rPr>
              <w:t xml:space="preserve">█▆▄▃▂▂ </w:t>
            </w:r>
          </w:p>
        </w:tc>
      </w:tr>
    </w:tbl>
    <w:p>
      <w:pPr>
        <w:spacing w:after="40"/>
      </w:pPr>
    </w:p>
    <w:p/>
    <w:p>
      <w:r>
        <w:rPr>
          <w:b/>
          <w:color w:val="1A1A1A"/>
          <w:sz w:val="28"/>
        </w:rPr>
        <w:t>5. 评级徽章</w:t>
      </w:r>
    </w:p>
    <w:p>
      <w:pPr>
        <w:jc w:val="left"/>
      </w:pPr>
      <w:r>
        <w:rPr>
          <w:color w:val="333333"/>
          <w:sz w:val="20"/>
        </w:rPr>
        <w:t>研报 header 用评级徽章强化视觉权重，三色：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2016"/>
            <w:vAlign w:val="center"/>
            <w:shd w:val="clear" w:color="auto" w:fill="0E7C3A"/>
            <w:tcBorders>
              <w:top w:val="single" w:sz="4" w:color="0E7C3A"/>
              <w:bottom w:val="single" w:sz="4" w:color="0E7C3A"/>
              <w:left w:val="single" w:sz="4" w:color="0E7C3A"/>
              <w:right w:val="single" w:sz="4" w:color="0E7C3A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2"/>
              </w:rPr>
              <w:t>增持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2016"/>
            <w:vAlign w:val="center"/>
            <w:shd w:val="clear" w:color="auto" w:fill="B45309"/>
            <w:tcBorders>
              <w:top w:val="single" w:sz="4" w:color="B45309"/>
              <w:bottom w:val="single" w:sz="4" w:color="B45309"/>
              <w:left w:val="single" w:sz="4" w:color="B45309"/>
              <w:right w:val="single" w:sz="4" w:color="B45309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2"/>
              </w:rPr>
              <w:t>中性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2016"/>
            <w:vAlign w:val="center"/>
            <w:shd w:val="clear" w:color="auto" w:fill="B91C1C"/>
            <w:tcBorders>
              <w:top w:val="single" w:sz="4" w:color="B91C1C"/>
              <w:bottom w:val="single" w:sz="4" w:color="B91C1C"/>
              <w:left w:val="single" w:sz="4" w:color="B91C1C"/>
              <w:right w:val="single" w:sz="4" w:color="B91C1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2"/>
              </w:rPr>
              <w:t>减持</w:t>
            </w:r>
          </w:p>
        </w:tc>
      </w:tr>
    </w:tbl>
    <w:p>
      <w:pPr>
        <w:spacing w:after="0"/>
      </w:pPr>
    </w:p>
    <w:p/>
    <w:p>
      <w:pPr>
        <w:spacing w:before="160" w:after="40"/>
      </w:pPr>
      <w:r>
        <w:rPr>
          <w:rFonts w:ascii="Times New Roman" w:hAnsi="Times New Roman" w:eastAsia="宋体"/>
          <w:color w:val="DDDDDD"/>
          <w:sz w:val="16"/>
        </w:rPr>
        <w:t>────────────────────────────────────────</w:t>
      </w:r>
    </w:p>
    <w:p>
      <w:pPr>
        <w:spacing w:before="40" w:after="40"/>
        <w:jc w:val="both"/>
      </w:pPr>
      <w:r>
        <w:rPr>
          <w:rFonts w:ascii="Times New Roman" w:hAnsi="Times New Roman" w:eastAsia="宋体"/>
          <w:i/>
          <w:color w:val="666666"/>
          <w:sz w:val="16"/>
        </w:rPr>
        <w:t>本报告仅供研究参考，不构成投资建议；投资有风险，决策需谨慎。本机构不对依据本报告作出的任何投资决策承担责任，亦不保证报告中信息的绝对准确性和完整性。报告所载数据来源于公开信息，本机构对其及时性、准确性不作任何承诺。投资者应当独立判断本报告中的任何信息和判断，并据此做出投资决策。  ——示例证券研究所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