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480" w:lineRule="auto"/>
        <w:jc w:val="center"/>
      </w:pPr>
      <w:r>
        <w:rPr>
          <w:rFonts w:ascii="Times New Roman" w:hAnsi="Times New Roman" w:eastAsia="黑体"/>
          <w:b/>
          <w:color w:val="1A1A1A"/>
          <w:sz w:val="44"/>
        </w:rPr>
        <w:t>海康威视首次覆盖：安防龙头，AI 时代新增长</w:t>
      </w:r>
    </w:p>
    <w:p>
      <w:pPr>
        <w:spacing w:before="0" w:after="40"/>
        <w:jc w:val="left"/>
      </w:pPr>
      <w:r>
        <w:rPr>
          <w:rFonts w:ascii="Times New Roman" w:hAnsi="Times New Roman" w:eastAsia="宋体"/>
          <w:i/>
          <w:color w:val="999999"/>
          <w:sz w:val="18"/>
        </w:rPr>
        <w:t>分析师：张明  ·  报告日期：2026-07-15  ·  当前价：31.20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rHeight w:val="792"/>
        </w:trPr>
        <w:tc>
          <w:tcPr>
            <w:tcW w:type="dxa" w:w="6739"/>
            <w:vAlign w:val="center"/>
            <w:tcBorders>
              <w:top w:val="nil" w:sz="0" w:color="auto"/>
              <w:bottom w:val="nil" w:sz="0" w:color="auto"/>
              <w:left w:val="nil" w:sz="0" w:color="auto"/>
              <w:right w:val="nil" w:sz="0" w:color="auto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黑体"/>
                <w:b/>
                <w:color w:val="1F3864"/>
                <w:sz w:val="40"/>
              </w:rPr>
              <w:t xml:space="preserve">海康威视  </w:t>
            </w:r>
            <w:r>
              <w:rPr>
                <w:rFonts w:ascii="Times New Roman" w:hAnsi="Times New Roman" w:eastAsia="宋体"/>
                <w:b/>
                <w:color w:val="1A1A1A"/>
                <w:sz w:val="26"/>
              </w:rPr>
              <w:t>002415.SZ</w:t>
            </w:r>
          </w:p>
        </w:tc>
        <w:tc>
          <w:tcPr>
            <w:tcW w:type="dxa" w:w="2621"/>
            <w:vAlign w:val="center"/>
            <w:shd w:val="clear" w:color="auto" w:fill="0E7C3A"/>
            <w:tcBorders>
              <w:top w:val="single" w:sz="4" w:color="0E7C3A"/>
              <w:bottom w:val="single" w:sz="4" w:color="0E7C3A"/>
              <w:left w:val="single" w:sz="4" w:color="0E7C3A"/>
              <w:right w:val="single" w:sz="4" w:color="0E7C3A"/>
            </w:tcBorders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2"/>
              </w:rPr>
              <w:t>评级  增持</w:t>
            </w:r>
          </w:p>
        </w:tc>
      </w:tr>
    </w:tbl>
    <w:p>
      <w:pPr>
        <w:spacing w:before="40" w:after="40"/>
        <w:jc w:val="left"/>
      </w:pPr>
      <w:r>
        <w:rPr>
          <w:rFonts w:ascii="Times New Roman" w:hAnsi="Times New Roman" w:eastAsia="宋体"/>
          <w:b/>
          <w:i/>
          <w:color w:val="6B2C91"/>
          <w:sz w:val="24"/>
        </w:rPr>
        <w:t>安防龙头·AI 时代新增长曲线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rHeight w:val="605"/>
        </w:trPr>
        <w:tc>
          <w:tcPr>
            <w:tcW w:type="dxa" w:w="3120"/>
            <w:vAlign w:val="center"/>
            <w:shd w:val="clear" w:color="auto" w:fill="F8F9FB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40" w:after="0"/>
              <w:jc w:val="center"/>
            </w:pPr>
            <w:r/>
            <w:r>
              <w:rPr>
                <w:rFonts w:ascii="Times New Roman" w:hAnsi="Times New Roman" w:eastAsia="宋体"/>
                <w:color w:val="999999"/>
                <w:sz w:val="18"/>
              </w:rPr>
              <w:t>目标价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 w:eastAsia="黑体"/>
                <w:b/>
                <w:color w:val="1F3864"/>
                <w:sz w:val="26"/>
              </w:rPr>
              <w:t>38.50 元</w:t>
            </w:r>
          </w:p>
        </w:tc>
        <w:tc>
          <w:tcPr>
            <w:tcW w:type="dxa" w:w="3120"/>
            <w:vAlign w:val="center"/>
            <w:shd w:val="clear" w:color="auto" w:fill="F8F9FB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40" w:after="0"/>
              <w:jc w:val="center"/>
            </w:pPr>
            <w:r/>
            <w:r>
              <w:rPr>
                <w:rFonts w:ascii="Times New Roman" w:hAnsi="Times New Roman" w:eastAsia="宋体"/>
                <w:color w:val="999999"/>
                <w:sz w:val="18"/>
              </w:rPr>
              <w:t>当前价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 w:eastAsia="黑体"/>
                <w:b/>
                <w:color w:val="1A1A1A"/>
                <w:sz w:val="26"/>
              </w:rPr>
              <w:t>31.20</w:t>
            </w:r>
          </w:p>
        </w:tc>
        <w:tc>
          <w:tcPr>
            <w:tcW w:type="dxa" w:w="3120"/>
            <w:vAlign w:val="center"/>
            <w:shd w:val="clear" w:color="auto" w:fill="F8F9FB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40" w:after="0"/>
              <w:jc w:val="center"/>
            </w:pPr>
            <w:r/>
            <w:r>
              <w:rPr>
                <w:rFonts w:ascii="Times New Roman" w:hAnsi="Times New Roman" w:eastAsia="宋体"/>
                <w:color w:val="999999"/>
                <w:sz w:val="18"/>
              </w:rPr>
              <w:t>上行空间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 w:eastAsia="黑体"/>
                <w:b/>
                <w:color w:val="666666"/>
                <w:sz w:val="26"/>
              </w:rPr>
              <w:t>—</w:t>
            </w:r>
          </w:p>
        </w:tc>
      </w:tr>
    </w:tbl>
    <w:p>
      <w:pPr>
        <w:spacing w:before="8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340"/>
            <w:shd w:val="clear" w:color="auto" w:fill="F8F9FB"/>
            <w:vAlign w:val="center"/>
            <w:tcBorders>
              <w:top w:val="single" w:sz="4" w:color="DDDDDD"/>
              <w:bottom w:val="single" w:sz="4" w:color="DDDDDD"/>
              <w:left w:val="nil" w:sz="0" w:color="auto"/>
              <w:right w:val="single" w:sz="4" w:color="DDDDDD"/>
            </w:tcBorders>
          </w:tcPr>
          <w:p>
            <w:pPr>
              <w:spacing w:before="40" w:after="0"/>
              <w:jc w:val="center"/>
            </w:pPr>
            <w:r/>
            <w:r>
              <w:rPr>
                <w:rFonts w:ascii="Times New Roman" w:hAnsi="Times New Roman" w:eastAsia="宋体"/>
                <w:color w:val="666666"/>
                <w:sz w:val="18"/>
              </w:rPr>
              <w:t>收盘价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1A1A1A"/>
                <w:sz w:val="40"/>
              </w:rPr>
              <w:t>31.20</w:t>
            </w:r>
            <w:r>
              <w:rPr>
                <w:rFonts w:ascii="Times New Roman" w:hAnsi="Times New Roman" w:eastAsia="宋体"/>
                <w:color w:val="666666"/>
                <w:sz w:val="20"/>
              </w:rPr>
              <w:t xml:space="preserve"> 元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E7C3A"/>
                <w:sz w:val="20"/>
              </w:rPr>
              <w:t>▲ +2.5%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 w:eastAsia="宋体"/>
                <w:color w:val="0E7C3A"/>
                <w:sz w:val="24"/>
              </w:rPr>
              <w:t xml:space="preserve"> ▃▅▇▄▇█</w:t>
            </w:r>
          </w:p>
        </w:tc>
        <w:tc>
          <w:tcPr>
            <w:tcW w:type="dxa" w:w="2340"/>
            <w:shd w:val="clear" w:color="auto" w:fill="F8F9FB"/>
            <w:vAlign w:val="center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40" w:after="0"/>
              <w:jc w:val="center"/>
            </w:pPr>
            <w:r/>
            <w:r>
              <w:rPr>
                <w:rFonts w:ascii="Times New Roman" w:hAnsi="Times New Roman" w:eastAsia="宋体"/>
                <w:color w:val="666666"/>
                <w:sz w:val="18"/>
              </w:rPr>
              <w:t>目标价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1A1A1A"/>
                <w:sz w:val="40"/>
              </w:rPr>
              <w:t>38.50</w:t>
            </w:r>
            <w:r>
              <w:rPr>
                <w:rFonts w:ascii="Times New Roman" w:hAnsi="Times New Roman" w:eastAsia="宋体"/>
                <w:color w:val="666666"/>
                <w:sz w:val="20"/>
              </w:rPr>
              <w:t xml:space="preserve"> 元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E7C3A"/>
                <w:sz w:val="20"/>
              </w:rPr>
              <w:t>▲ +23.4%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 w:eastAsia="宋体"/>
                <w:color w:val="0E7C3A"/>
                <w:sz w:val="24"/>
              </w:rPr>
              <w:t xml:space="preserve"> ▂▃▄▆▇█</w:t>
            </w:r>
          </w:p>
        </w:tc>
        <w:tc>
          <w:tcPr>
            <w:tcW w:type="dxa" w:w="2340"/>
            <w:shd w:val="clear" w:color="auto" w:fill="F8F9FB"/>
            <w:vAlign w:val="center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</w:tcPr>
          <w:p>
            <w:pPr>
              <w:spacing w:before="40" w:after="0"/>
              <w:jc w:val="center"/>
            </w:pPr>
            <w:r/>
            <w:r>
              <w:rPr>
                <w:rFonts w:ascii="Times New Roman" w:hAnsi="Times New Roman" w:eastAsia="宋体"/>
                <w:color w:val="666666"/>
                <w:sz w:val="18"/>
              </w:rPr>
              <w:t>市值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1A1A1A"/>
                <w:sz w:val="40"/>
              </w:rPr>
              <w:t>2934</w:t>
            </w:r>
            <w:r>
              <w:rPr>
                <w:rFonts w:ascii="Times New Roman" w:hAnsi="Times New Roman" w:eastAsia="宋体"/>
                <w:color w:val="666666"/>
                <w:sz w:val="20"/>
              </w:rPr>
              <w:t xml:space="preserve"> 亿元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0E7C3A"/>
                <w:sz w:val="20"/>
              </w:rPr>
              <w:t>▲ +2.5%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 w:eastAsia="宋体"/>
                <w:color w:val="0E7C3A"/>
                <w:sz w:val="24"/>
              </w:rPr>
              <w:t xml:space="preserve"> ▃▄▆▅▇█</w:t>
            </w:r>
          </w:p>
        </w:tc>
        <w:tc>
          <w:tcPr>
            <w:tcW w:type="dxa" w:w="2340"/>
            <w:shd w:val="clear" w:color="auto" w:fill="F8F9FB"/>
            <w:vAlign w:val="center"/>
            <w:tcBorders>
              <w:top w:val="single" w:sz="4" w:color="DDDDDD"/>
              <w:bottom w:val="single" w:sz="4" w:color="DDDDDD"/>
              <w:left w:val="single" w:sz="4" w:color="DDDDDD"/>
              <w:right w:val="nil" w:sz="0" w:color="auto"/>
            </w:tcBorders>
          </w:tcPr>
          <w:p>
            <w:pPr>
              <w:spacing w:before="40" w:after="0"/>
              <w:jc w:val="center"/>
            </w:pPr>
            <w:r/>
            <w:r>
              <w:rPr>
                <w:rFonts w:ascii="Times New Roman" w:hAnsi="Times New Roman" w:eastAsia="宋体"/>
                <w:color w:val="666666"/>
                <w:sz w:val="18"/>
              </w:rPr>
              <w:t>PE (TTM)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1A1A1A"/>
                <w:sz w:val="40"/>
              </w:rPr>
              <w:t>24.5</w:t>
            </w:r>
            <w:r>
              <w:rPr>
                <w:rFonts w:ascii="Times New Roman" w:hAnsi="Times New Roman" w:eastAsia="宋体"/>
                <w:color w:val="666666"/>
                <w:sz w:val="20"/>
              </w:rPr>
              <w:t xml:space="preserve"> x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color w:val="B91C1C"/>
                <w:sz w:val="20"/>
              </w:rPr>
              <w:t>▼ -5.0%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 w:eastAsia="宋体"/>
                <w:color w:val="B91C1C"/>
                <w:sz w:val="24"/>
              </w:rPr>
              <w:t xml:space="preserve">▅█▅▃▄▂ </w:t>
            </w:r>
          </w:p>
        </w:tc>
      </w:tr>
    </w:tbl>
    <w:p>
      <w:pPr>
        <w:spacing w:after="40"/>
      </w:pPr>
    </w:p>
    <w:p>
      <w:pPr>
        <w:spacing w:after="240"/>
        <w:jc w:val="center"/>
      </w:pPr>
      <w:r>
        <w:rPr>
          <w:rFonts w:ascii="Times New Roman" w:hAnsi="Times New Roman" w:eastAsia="宋体"/>
          <w:color w:val="666666"/>
          <w:sz w:val="22"/>
        </w:rPr>
        <w:t>PRO-DOCX v1.7.0 Research</w:t>
      </w:r>
    </w:p>
    <w:p>
      <w:pPr>
        <w:jc w:val="center"/>
      </w:pPr>
      <w:r>
        <w:rPr>
          <w:rFonts w:ascii="Times New Roman" w:hAnsi="Times New Roman" w:eastAsia="黑体"/>
          <w:b/>
          <w:color w:val="1A1A1A"/>
          <w:sz w:val="32"/>
        </w:rPr>
        <w:t>目  录</w:t>
      </w:r>
    </w:p>
    <w:p>
      <w:r>
        <w:fldChar w:fldCharType="begin"/>
        <w:instrText xml:space="preserve"> TOC \o "1-3" \h \z \u </w:instrText>
        <w:fldChar w:fldCharType="separate"/>
        <w:t xml:space="preserve">请右键选择"更新域"以生成目录</w:t>
        <w:fldChar w:fldCharType="end"/>
      </w:r>
    </w:p>
    <w:p>
      <w:r>
        <w:rPr>
          <w:rFonts w:ascii="Times New Roman" w:hAnsi="Times New Roman" w:eastAsia="宋体"/>
          <w:i/>
          <w:color w:val="666666"/>
          <w:sz w:val="18"/>
        </w:rPr>
        <w:t>（在 Word 中按 F9 或右键"更新域"即可刷新目录）</w:t>
      </w:r>
    </w:p>
    <w:p>
      <w:pPr>
        <w:pStyle w:val="Heading1"/>
      </w:pPr>
      <w:r>
        <w:rPr>
          <w:rFonts w:ascii="Times New Roman" w:hAnsi="Times New Roman" w:eastAsia="黑体"/>
          <w:color w:val="1A1A1A"/>
        </w:rPr>
        <w:t>公司概览</w:t>
      </w:r>
    </w:p>
    <w:p>
      <w:pPr>
        <w:spacing w:line="480" w:lineRule="auto" w:after="120"/>
        <w:ind w:firstLine="432"/>
        <w:jc w:val="both"/>
      </w:pPr>
      <w:r>
        <w:rPr>
          <w:rFonts w:ascii="Times New Roman" w:hAnsi="Times New Roman" w:eastAsia="宋体"/>
          <w:color w:val="333333"/>
          <w:sz w:val="24"/>
        </w:rPr>
        <w:t>海康威视是全球领先的安防产品及解决方案提供商，业务覆盖前端感知、后端存储、智能算法及行业应用。</w:t>
      </w:r>
    </w:p>
    <w:p>
      <w:pPr>
        <w:spacing w:line="480" w:lineRule="auto" w:after="120"/>
        <w:ind w:firstLine="432"/>
        <w:jc w:val="both"/>
      </w:pPr>
      <w:r>
        <w:rPr>
          <w:rFonts w:ascii="Times New Roman" w:hAnsi="Times New Roman" w:eastAsia="宋体"/>
          <w:color w:val="333333"/>
          <w:sz w:val="24"/>
        </w:rPr>
        <w:t>公司 2024 年营收 924.6 亿元，归母净利润 119.6 亿元。EBG/SMBG/PBG 三业务线协同推进数字化转型。</w:t>
      </w:r>
    </w:p>
    <w:p>
      <w:pPr>
        <w:pStyle w:val="Heading1"/>
      </w:pPr>
      <w:r>
        <w:rPr>
          <w:rFonts w:ascii="Times New Roman" w:hAnsi="Times New Roman" w:eastAsia="黑体"/>
          <w:color w:val="1A1A1A"/>
        </w:rPr>
        <w:t>投资摘要</w:t>
      </w:r>
    </w:p>
    <w:p>
      <w:pPr>
        <w:spacing w:line="480" w:lineRule="auto" w:after="120"/>
        <w:ind w:firstLine="432"/>
        <w:jc w:val="both"/>
      </w:pPr>
      <w:r>
        <w:rPr>
          <w:rFonts w:ascii="Times New Roman" w:hAnsi="Times New Roman" w:eastAsia="宋体"/>
          <w:color w:val="333333"/>
          <w:sz w:val="24"/>
        </w:rPr>
        <w:t>我们看好公司在 AI 视觉与垂直行业应用的长期增长，给予 Overweight 评级。</w:t>
      </w:r>
    </w:p>
    <w:p>
      <w:pPr>
        <w:pStyle w:val="Heading1"/>
      </w:pPr>
      <w:r>
        <w:rPr>
          <w:rFonts w:ascii="Times New Roman" w:hAnsi="Times New Roman" w:eastAsia="黑体"/>
          <w:color w:val="1A1A1A"/>
        </w:rPr>
        <w:t>财务分析</w:t>
      </w:r>
    </w:p>
    <w:p>
      <w:pPr>
        <w:spacing w:before="120" w:after="60"/>
        <w:jc w:val="center"/>
      </w:pPr>
      <w:r>
        <w:rPr>
          <w:rFonts w:ascii="Times New Roman" w:hAnsi="Times New Roman" w:eastAsia="宋体"/>
          <w:color w:val="666666"/>
          <w:sz w:val="21"/>
        </w:rPr>
      </w:r>
      <w:r>
        <w:rPr>
          <w:rFonts w:ascii="Times New Roman" w:hAnsi="Times New Roman" w:eastAsia="宋体"/>
          <w:b/>
          <w:color w:val="666666"/>
          <w:sz w:val="21"/>
        </w:rPr>
        <w:t>表 1:</w:t>
      </w:r>
      <w:r>
        <w:rPr>
          <w:rFonts w:ascii="Times New Roman" w:hAnsi="Times New Roman" w:eastAsia="宋体"/>
          <w:color w:val="666666"/>
          <w:sz w:val="21"/>
        </w:rPr>
        <w:t xml:space="preserve"> 海康威视财务摘要（亿元，YoY%）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cantSplit/>
          <w:tblHeader/>
        </w:trPr>
        <w:tc>
          <w:tcPr>
            <w:tcW w:type="dxa" w:w="1872"/>
            <w:vAlign w:val="center"/>
            <w:shd w:val="clear" w:color="auto" w:fill="1F386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4"/>
              </w:rPr>
              <w:t>项目</w:t>
            </w:r>
          </w:p>
        </w:tc>
        <w:tc>
          <w:tcPr>
            <w:tcW w:type="dxa" w:w="1152"/>
            <w:vAlign w:val="center"/>
            <w:shd w:val="clear" w:color="auto" w:fill="1F386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4"/>
              </w:rPr>
              <w:t>2022</w:t>
            </w:r>
          </w:p>
        </w:tc>
        <w:tc>
          <w:tcPr>
            <w:tcW w:type="dxa" w:w="1152"/>
            <w:vAlign w:val="center"/>
            <w:shd w:val="clear" w:color="auto" w:fill="1F386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4"/>
              </w:rPr>
              <w:t>2023</w:t>
            </w:r>
          </w:p>
        </w:tc>
        <w:tc>
          <w:tcPr>
            <w:tcW w:type="dxa" w:w="1152"/>
            <w:vAlign w:val="center"/>
            <w:shd w:val="clear" w:color="auto" w:fill="1F386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4"/>
              </w:rPr>
              <w:t>2024</w:t>
            </w:r>
          </w:p>
        </w:tc>
        <w:tc>
          <w:tcPr>
            <w:tcW w:type="dxa" w:w="1152"/>
            <w:vAlign w:val="center"/>
            <w:shd w:val="clear" w:color="auto" w:fill="1F386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4"/>
              </w:rPr>
              <w:t>2025E</w:t>
            </w:r>
          </w:p>
        </w:tc>
        <w:tc>
          <w:tcPr>
            <w:tcW w:type="dxa" w:w="1152"/>
            <w:vAlign w:val="center"/>
            <w:shd w:val="clear" w:color="auto" w:fill="1F386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4"/>
              </w:rPr>
              <w:t>2026E</w:t>
            </w:r>
          </w:p>
        </w:tc>
        <w:tc>
          <w:tcPr>
            <w:tcW w:type="dxa" w:w="1152"/>
            <w:vAlign w:val="center"/>
            <w:shd w:val="clear" w:color="auto" w:fill="1F3864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24"/>
              </w:rPr>
              <w:t>YoY%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营业收入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831.7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893.4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924.6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1015.0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1118.5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0.135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val="clear" w:color="auto" w:fill="F2F6FC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归母净利润</w:t>
            </w:r>
          </w:p>
        </w:tc>
        <w:tc>
          <w:tcPr>
            <w:tcW w:type="dxa" w:w="1152"/>
            <w:vAlign w:val="center"/>
            <w:shd w:val="clear" w:color="auto" w:fill="F2F6FC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128.3</w:t>
            </w:r>
          </w:p>
        </w:tc>
        <w:tc>
          <w:tcPr>
            <w:tcW w:type="dxa" w:w="1152"/>
            <w:vAlign w:val="center"/>
            <w:shd w:val="clear" w:color="auto" w:fill="F2F6FC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141.1</w:t>
            </w:r>
          </w:p>
        </w:tc>
        <w:tc>
          <w:tcPr>
            <w:tcW w:type="dxa" w:w="1152"/>
            <w:vAlign w:val="center"/>
            <w:shd w:val="clear" w:color="auto" w:fill="F2F6FC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119.6</w:t>
            </w:r>
          </w:p>
        </w:tc>
        <w:tc>
          <w:tcPr>
            <w:tcW w:type="dxa" w:w="1152"/>
            <w:vAlign w:val="center"/>
            <w:shd w:val="clear" w:color="auto" w:fill="F2F6FC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138.0</w:t>
            </w:r>
          </w:p>
        </w:tc>
        <w:tc>
          <w:tcPr>
            <w:tcW w:type="dxa" w:w="1152"/>
            <w:vAlign w:val="center"/>
            <w:shd w:val="clear" w:color="auto" w:fill="F2F6FC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156.2</w:t>
            </w:r>
          </w:p>
        </w:tc>
        <w:tc>
          <w:tcPr>
            <w:tcW w:type="dxa" w:w="1152"/>
            <w:vAlign w:val="center"/>
            <w:shd w:val="clear" w:color="auto" w:fill="F2F6FC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0.131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毛利率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44.3%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44.0%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43.8%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44.2%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44.5%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0.016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val="clear" w:color="auto" w:fill="F2F6FC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净利率</w:t>
            </w:r>
          </w:p>
        </w:tc>
        <w:tc>
          <w:tcPr>
            <w:tcW w:type="dxa" w:w="1152"/>
            <w:vAlign w:val="center"/>
            <w:shd w:val="clear" w:color="auto" w:fill="F2F6FC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15.4%</w:t>
            </w:r>
          </w:p>
        </w:tc>
        <w:tc>
          <w:tcPr>
            <w:tcW w:type="dxa" w:w="1152"/>
            <w:vAlign w:val="center"/>
            <w:shd w:val="clear" w:color="auto" w:fill="F2F6FC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15.8%</w:t>
            </w:r>
          </w:p>
        </w:tc>
        <w:tc>
          <w:tcPr>
            <w:tcW w:type="dxa" w:w="1152"/>
            <w:vAlign w:val="center"/>
            <w:shd w:val="clear" w:color="auto" w:fill="F2F6FC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12.9%</w:t>
            </w:r>
          </w:p>
        </w:tc>
        <w:tc>
          <w:tcPr>
            <w:tcW w:type="dxa" w:w="1152"/>
            <w:vAlign w:val="center"/>
            <w:shd w:val="clear" w:color="auto" w:fill="F2F6FC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13.6%</w:t>
            </w:r>
          </w:p>
        </w:tc>
        <w:tc>
          <w:tcPr>
            <w:tcW w:type="dxa" w:w="1152"/>
            <w:vAlign w:val="center"/>
            <w:shd w:val="clear" w:color="auto" w:fill="F2F6FC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14.0%</w:t>
            </w:r>
          </w:p>
        </w:tc>
        <w:tc>
          <w:tcPr>
            <w:tcW w:type="dxa" w:w="1152"/>
            <w:vAlign w:val="center"/>
            <w:shd w:val="clear" w:color="auto" w:fill="F2F6FC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-0.043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研发投入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98.1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113.5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121.4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134.0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148.2</w:t>
            </w:r>
          </w:p>
        </w:tc>
        <w:tc>
          <w:tcPr>
            <w:tcW w:type="dxa" w:w="1152"/>
            <w:vAlign w:val="center"/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color w:val="333333"/>
                <w:sz w:val="20"/>
              </w:rPr>
              <w:t>0.103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hAnsi="Times New Roman" w:eastAsia="黑体"/>
          <w:color w:val="1A1A1A"/>
        </w:rPr>
        <w:t>估值与目标价</w:t>
      </w:r>
    </w:p>
    <w:p>
      <w:pPr>
        <w:spacing w:line="480" w:lineRule="auto" w:after="120"/>
        <w:ind w:firstLine="432"/>
        <w:jc w:val="both"/>
      </w:pPr>
      <w:r>
        <w:rPr>
          <w:rFonts w:ascii="Times New Roman" w:hAnsi="Times New Roman" w:eastAsia="宋体"/>
          <w:color w:val="333333"/>
          <w:sz w:val="24"/>
        </w:rPr>
        <w:t>采用 PE 估值法，参考行业可比公司，给予 2026E 25x PE，对应目标价 38.5 元。</w:t>
      </w:r>
    </w:p>
    <w:p>
      <w:pPr>
        <w:pStyle w:val="Heading1"/>
      </w:pPr>
      <w:r>
        <w:rPr>
          <w:rFonts w:ascii="Times New Roman" w:hAnsi="Times New Roman" w:eastAsia="黑体"/>
          <w:color w:val="1A1A1A"/>
        </w:rPr>
        <w:t>风险因素</w:t>
      </w:r>
    </w:p>
    <w:p>
      <w:pPr>
        <w:spacing w:line="480" w:lineRule="auto" w:after="120"/>
        <w:ind w:firstLine="432"/>
        <w:jc w:val="both"/>
      </w:pPr>
      <w:r>
        <w:rPr>
          <w:rFonts w:ascii="Times New Roman" w:hAnsi="Times New Roman" w:eastAsia="宋体"/>
          <w:color w:val="333333"/>
          <w:sz w:val="24"/>
        </w:rPr>
        <w:t>海外政策风险、原材料价格波动、行业竞争加剧。</w:t>
      </w:r>
    </w:p>
    <w:p>
      <w:pPr>
        <w:spacing w:before="160" w:after="40"/>
      </w:pPr>
      <w:r>
        <w:rPr>
          <w:rFonts w:ascii="Times New Roman" w:hAnsi="Times New Roman" w:eastAsia="宋体"/>
          <w:color w:val="DDDDDD"/>
          <w:sz w:val="16"/>
        </w:rPr>
        <w:t>────────────────────────────────────────</w:t>
      </w:r>
    </w:p>
    <w:p>
      <w:pPr>
        <w:spacing w:before="40" w:after="40"/>
        <w:jc w:val="both"/>
      </w:pPr>
      <w:r>
        <w:rPr>
          <w:rFonts w:ascii="Times New Roman" w:hAnsi="Times New Roman" w:eastAsia="宋体"/>
          <w:i/>
          <w:color w:val="666666"/>
          <w:sz w:val="16"/>
        </w:rPr>
        <w:t>本报告仅供研究参考，不构成投资建议；投资有风险，决策需谨慎。本机构不对依据本报告作出的任何投资决策承担责任，亦不保证报告中信息的绝对准确性和完整性。报告所载数据来源于公开信息，本机构对其及时性、准确性不作任何承诺。投资者应当独立判断本报告中的任何信息和判断，并据此做出投资决策。  ——示例证券研究所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480" w:lineRule="auto"/>
      <w:jc w:val="both"/>
    </w:pPr>
    <w:rPr>
      <w:rFonts w:ascii="Times New Roman" w:hAnsi="Times New Roman" w:eastAsia="宋体"/>
      <w:b w:val="0"/>
      <w:i w:val="0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1A1A1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480" w:lineRule="auto"/>
      <w:jc w:val="left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iCs/>
      <w:color w:val="1A1A1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60" w:line="480" w:lineRule="auto"/>
      <w:jc w:val="left"/>
      <w:outlineLvl w:val="4"/>
    </w:pPr>
    <w:rPr>
      <w:rFonts w:asciiTheme="majorHAnsi" w:eastAsiaTheme="majorEastAsia" w:hAnsiTheme="majorHAnsi" w:cstheme="majorBidi" w:ascii="Times New Roman" w:hAnsi="Times New Roman" w:eastAsia="黑体"/>
      <w:b/>
      <w:i w:val="0"/>
      <w:color w:val="1A1A1A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48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i w:val="0"/>
      <w:color w:val="1A1A1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海康威视首次覆盖：安防龙头，AI 时代新增长</dc:title>
  <dc:subject/>
  <dc:creator>PRO-DOCX v1.7.0 Research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