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 w:line="324" w:lineRule="auto"/>
        <w:jc w:val="center"/>
      </w:pPr>
      <w:r>
        <w:rPr>
          <w:rFonts w:ascii="Microsoft YaHei" w:hAnsi="Microsoft YaHei" w:eastAsia="Microsoft YaHei"/>
        </w:rPr>
        <w:t>数据管理页标准化需求文档（RAG平台版）</w:t>
      </w:r>
    </w:p>
    <w:p>
      <w:pPr>
        <w:pStyle w:val="Subtitle"/>
        <w:spacing w:after="200" w:line="324" w:lineRule="auto"/>
        <w:jc w:val="center"/>
      </w:pPr>
      <w:r>
        <w:rPr>
          <w:rFonts w:ascii="Microsoft YaHei" w:hAnsi="Microsoft YaHei" w:eastAsia="Microsoft YaHei"/>
          <w:color w:val="5B6573"/>
          <w:sz w:val="22"/>
        </w:rPr>
        <w:t>适用范围：历史数据、检索数据、数据源、领域数据库、索引与持久化管理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072"/>
            <w:gridSpan w:val="2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F4C81"/>
              </w:rPr>
              <w:t>文档定位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页面定位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面向成熟 RAG 平台的数据资产管理中心，不承担前台多主问题排队与任务调度。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管理范围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历史数据、检索数据、数据源、领域数据库、索引与持久化、增删改查、状态监控与版本管理。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设计原则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服务推理系统底层知识与检索资产，不做传统后台堆表格，强调系统感、状态感与可追溯性。</w:t>
            </w:r>
          </w:p>
        </w:tc>
      </w:tr>
    </w:tbl>
    <w:p/>
    <w:p>
      <w:pPr>
        <w:pStyle w:val="Heading1"/>
        <w:spacing w:after="120" w:line="324" w:lineRule="auto"/>
      </w:pPr>
      <w:r>
        <w:rPr>
          <w:rFonts w:ascii="Microsoft YaHei" w:hAnsi="Microsoft YaHei" w:eastAsia="Microsoft YaHei"/>
        </w:rPr>
        <w:t>1. 建设目标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把数据管理页从“案例列表页”升级为 RAG 平台式的数据中台前端。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支持原始数据、检索加工数据、推理使用数据三层资产分治管理。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支持版本、状态、索引、持久化、CRUD 与异常监控，支撑论文答辩与后续工程化扩展。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明确排除“用户主问题队列”概念；多主问题拆分应在上游输入/任务发起页处理。</w:t>
      </w:r>
    </w:p>
    <w:p>
      <w:pPr>
        <w:pStyle w:val="Heading1"/>
        <w:spacing w:after="120" w:line="324" w:lineRule="auto"/>
      </w:pPr>
      <w:r>
        <w:rPr>
          <w:rFonts w:ascii="Microsoft YaHei" w:hAnsi="Microsoft YaHei" w:eastAsia="Microsoft YaHei"/>
        </w:rPr>
        <w:t>2. 整体信息架构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072"/>
            <w:gridSpan w:val="2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F4C81"/>
              </w:rPr>
              <w:t>一级模块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历史数据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管理历史主问题、推理结果、子问题链、补检记录、答案版本与回退分支。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检索数据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管理原始查询、重写查询、补检查询、检索结果、重排序与文档级状态判别。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数据源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管理法条库、判例库、司法解释库、自定义文档库等逻辑/物理数据源。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领域数据库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管理结构化法律知识底座、实体词库、热度/流行度统计表、术语映射等。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索引与持久化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管理分块、向量索引、倒排索引、元数据索引、缓存与构建日志。</w:t>
            </w:r>
          </w:p>
        </w:tc>
      </w:tr>
    </w:tbl>
    <w:p/>
    <w:p>
      <w:pPr>
        <w:pStyle w:val="Heading2"/>
        <w:spacing w:after="80" w:line="324" w:lineRule="auto"/>
      </w:pPr>
      <w:r>
        <w:rPr>
          <w:rFonts w:ascii="Microsoft YaHei" w:hAnsi="Microsoft YaHei" w:eastAsia="Microsoft YaHei"/>
        </w:rPr>
        <w:t>3. 历史数据管理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88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子模块</w:t>
            </w:r>
          </w:p>
        </w:tc>
        <w:tc>
          <w:tcPr>
            <w:tcW w:type="dxa" w:w="2952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核心对象</w:t>
            </w:r>
          </w:p>
        </w:tc>
        <w:tc>
          <w:tcPr>
            <w:tcW w:type="dxa" w:w="1944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关键字段/指标</w:t>
            </w:r>
          </w:p>
        </w:tc>
        <w:tc>
          <w:tcPr>
            <w:tcW w:type="dxa" w:w="2880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关键操作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历史记录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主问题、最终答案、子问题链、运行快照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记录ID、主问题摘要、场景、创建时间、状态、子问题数、版本号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查看详情、导出、删除、标记演示案例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轨迹版本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回退分支、重推版本、参数快照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父版本、回退节点、回退时间、活跃版本、参数快照ID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恢复版本、对比版本、切换活跃版本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答案资产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子问题答案、最终答案、关键证据引用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答案摘要、证据数量、是否补检、是否回退、完成时间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预览、导出、重新加载到推理页</w:t>
            </w:r>
          </w:p>
        </w:tc>
      </w:tr>
    </w:tbl>
    <w:p/>
    <w:p>
      <w:pPr>
        <w:pStyle w:val="Heading2"/>
        <w:spacing w:after="80" w:line="324" w:lineRule="auto"/>
      </w:pPr>
      <w:r>
        <w:rPr>
          <w:rFonts w:ascii="Microsoft YaHei" w:hAnsi="Microsoft YaHei" w:eastAsia="Microsoft YaHei"/>
        </w:rPr>
        <w:t>4. 检索数据管理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88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子模块</w:t>
            </w:r>
          </w:p>
        </w:tc>
        <w:tc>
          <w:tcPr>
            <w:tcW w:type="dxa" w:w="2952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核心对象</w:t>
            </w:r>
          </w:p>
        </w:tc>
        <w:tc>
          <w:tcPr>
            <w:tcW w:type="dxa" w:w="1944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关键字段/指标</w:t>
            </w:r>
          </w:p>
        </w:tc>
        <w:tc>
          <w:tcPr>
            <w:tcW w:type="dxa" w:w="2880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关键操作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查询记录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原始查询、重写查询、补检查询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查询类型、触发来源、中文展开、轮次、时间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查看链路、复制、回溯来源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检索结果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初检返回、补检返回文档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文档标题、来源、召回分、轮次、新增/复用标记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查看文档、筛选轮次、导出结果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重排序与判别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rerank结果、文档级状态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rerank分、上/下阈值、文档状态、是否入证据池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查看三态判别、按状态筛选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补检链路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缺口、补检查询、补检新增证据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缺口描述、补检轮次、去重后保留数、结果状态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查看轮次历史、对比前后结果</w:t>
            </w:r>
          </w:p>
        </w:tc>
      </w:tr>
    </w:tbl>
    <w:p/>
    <w:p>
      <w:pPr>
        <w:pStyle w:val="Heading2"/>
        <w:spacing w:after="80" w:line="324" w:lineRule="auto"/>
      </w:pPr>
      <w:r>
        <w:rPr>
          <w:rFonts w:ascii="Microsoft YaHei" w:hAnsi="Microsoft YaHei" w:eastAsia="Microsoft YaHei"/>
        </w:rPr>
        <w:t>5. 数据源管理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88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子模块</w:t>
            </w:r>
          </w:p>
        </w:tc>
        <w:tc>
          <w:tcPr>
            <w:tcW w:type="dxa" w:w="2952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核心对象</w:t>
            </w:r>
          </w:p>
        </w:tc>
        <w:tc>
          <w:tcPr>
            <w:tcW w:type="dxa" w:w="1944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关键字段/指标</w:t>
            </w:r>
          </w:p>
        </w:tc>
        <w:tc>
          <w:tcPr>
            <w:tcW w:type="dxa" w:w="2880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关键操作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数据源列表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法条库、司法解释库、判例库、自定义库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名称、类型、文档量、启用状态、更新时间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新增、编辑、启停、删除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参与策略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初检、补检、重写召回参与关系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是否参与初检、是否参与补检、是否参与重写召回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修改参与策略、查看影响说明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运行状态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索引状态、异常状态、同步状态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向量化状态、索引状态、失败数、最近同步日志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重新索引、查看日志、异常修复</w:t>
            </w:r>
          </w:p>
        </w:tc>
      </w:tr>
    </w:tbl>
    <w:p/>
    <w:p>
      <w:pPr>
        <w:pStyle w:val="Heading2"/>
        <w:spacing w:after="80" w:line="324" w:lineRule="auto"/>
      </w:pPr>
      <w:r>
        <w:rPr>
          <w:rFonts w:ascii="Microsoft YaHei" w:hAnsi="Microsoft YaHei" w:eastAsia="Microsoft YaHei"/>
        </w:rPr>
        <w:t>6. 领域数据库管理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88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子模块</w:t>
            </w:r>
          </w:p>
        </w:tc>
        <w:tc>
          <w:tcPr>
            <w:tcW w:type="dxa" w:w="2952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核心对象</w:t>
            </w:r>
          </w:p>
        </w:tc>
        <w:tc>
          <w:tcPr>
            <w:tcW w:type="dxa" w:w="1944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关键字段/指标</w:t>
            </w:r>
          </w:p>
        </w:tc>
        <w:tc>
          <w:tcPr>
            <w:tcW w:type="dxa" w:w="2880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关键操作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法律结构库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法条结构表、司法解释结构表、判例元数据表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表名、记录数、更新时间、字段预览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查看样本、编辑元数据、导入导出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实体与流行度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实体词库、别名表、流行度统计表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实体名、别名、热度值、数据来源、更新时间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新增、编辑、刷新统计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术语映射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法律概念词表、标签体系、术语映射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术语、标准表述、适用场景、参与模块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维护映射、批量导入</w:t>
            </w:r>
          </w:p>
        </w:tc>
      </w:tr>
    </w:tbl>
    <w:p/>
    <w:p>
      <w:pPr>
        <w:pStyle w:val="Heading2"/>
        <w:spacing w:after="80" w:line="324" w:lineRule="auto"/>
      </w:pPr>
      <w:r>
        <w:rPr>
          <w:rFonts w:ascii="Microsoft YaHei" w:hAnsi="Microsoft YaHei" w:eastAsia="Microsoft YaHei"/>
        </w:rPr>
        <w:t>7. 索引与持久化管理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88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子模块</w:t>
            </w:r>
          </w:p>
        </w:tc>
        <w:tc>
          <w:tcPr>
            <w:tcW w:type="dxa" w:w="2952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核心对象</w:t>
            </w:r>
          </w:p>
        </w:tc>
        <w:tc>
          <w:tcPr>
            <w:tcW w:type="dxa" w:w="1944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关键字段/指标</w:t>
            </w:r>
          </w:p>
        </w:tc>
        <w:tc>
          <w:tcPr>
            <w:tcW w:type="dxa" w:w="2880"/>
            <w:shd w:fill="DCEB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关键操作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原始存储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原始文档、清洗文本、Chunk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文档数、Chunk数、存储总量、清洗状态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重新分块、查看失败文档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索引资产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向量索引、倒排索引、元数据索引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索引版本、最后构建时间、构建状态、异常数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重新索引、切换版本、查看构建日志</w:t>
            </w:r>
          </w:p>
        </w:tc>
      </w:tr>
      <w:tr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缓存与复用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检索缓存、运行缓存、重推复用策略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t>缓存命中率、缓存大小、复用开关、过期时间</w:t>
            </w:r>
          </w:p>
        </w:tc>
        <w:tc>
          <w:tcPr>
            <w:tcW w:type="dxa" w:w="24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line="288" w:lineRule="auto" w:after="0"/>
            </w:pPr>
            <w:r>
              <w:t>清理缓存、配置复用策略</w:t>
            </w:r>
          </w:p>
        </w:tc>
      </w:tr>
    </w:tbl>
    <w:p/>
    <w:p>
      <w:pPr>
        <w:pStyle w:val="Heading1"/>
        <w:spacing w:after="120" w:line="324" w:lineRule="auto"/>
      </w:pPr>
      <w:r>
        <w:rPr>
          <w:rFonts w:ascii="Microsoft YaHei" w:hAnsi="Microsoft YaHei" w:eastAsia="Microsoft YaHei"/>
        </w:rPr>
        <w:t>8. 分层数据模型要求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原始数据层：原文档、法条原文、判例原文、司法解释原文。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检索加工层：分块结果、Embedding、召回分、重排序分、文档级状态、轮次信息。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推理使用层：进入证据池文档、被采纳证据、未采纳证据、补检查询、子问题答案引用。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前端必须支持三层视图切换，避免把“文件管理”“检索结果”“推理证据”混成一个表。</w:t>
      </w:r>
    </w:p>
    <w:p>
      <w:pPr>
        <w:pStyle w:val="Heading1"/>
        <w:spacing w:after="120" w:line="324" w:lineRule="auto"/>
      </w:pPr>
      <w:r>
        <w:rPr>
          <w:rFonts w:ascii="Microsoft YaHei" w:hAnsi="Microsoft YaHei" w:eastAsia="Microsoft YaHei"/>
        </w:rPr>
        <w:t>9. 版本与状态管理要求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072"/>
            <w:gridSpan w:val="2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F4C81"/>
              </w:rPr>
              <w:t>版本意识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必须有版本的对象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数据源版本、索引版本、推理快照版本、参数快照版本、历史答案版本。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版本用途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支持对比、追溯、回退、复现与答辩展示。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版本展示建议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使用顶部指标卡 + 列表 + 右侧详情抽屉的组合方式呈现。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072"/>
            <w:gridSpan w:val="2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F4C81"/>
              </w:rPr>
              <w:t>状态意识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数据源状态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正常、更新中、索引中、失败、停用。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文档状态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待处理、已分块、已向量化、已入库、异常。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检索状态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初检、重写检索、补检、已入证据池、已淘汰。</w:t>
            </w:r>
          </w:p>
        </w:tc>
      </w:tr>
    </w:tbl>
    <w:p/>
    <w:p>
      <w:pPr>
        <w:pStyle w:val="Heading1"/>
        <w:spacing w:after="120" w:line="324" w:lineRule="auto"/>
      </w:pPr>
      <w:r>
        <w:rPr>
          <w:rFonts w:ascii="Microsoft YaHei" w:hAnsi="Microsoft YaHei" w:eastAsia="Microsoft YaHei"/>
        </w:rPr>
        <w:t>10. CRUD 与交互要求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所有一级模块均需支持基础 CRUD，但交互形态应偏平台控制台，而非传统后台管理系统。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优先采用“顶部指标卡 + 中部列表/表格 + 右侧详情抽屉/侧板”的布局。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重要编辑操作需有二次确认、操作结果反馈与异常提示。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支持按来源、轮次、状态、版本、更新时间等维度筛选。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对检索数据与索引数据，需支持批量操作与日志查看。</w:t>
      </w:r>
    </w:p>
    <w:p>
      <w:pPr>
        <w:pStyle w:val="Heading1"/>
        <w:spacing w:after="120" w:line="324" w:lineRule="auto"/>
      </w:pPr>
      <w:r>
        <w:rPr>
          <w:rFonts w:ascii="Microsoft YaHei" w:hAnsi="Microsoft YaHei" w:eastAsia="Microsoft YaHei"/>
        </w:rPr>
        <w:t>11. 页面视觉与组件建议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整体保持科技感、系统感、数据面板感；避免纯表格堆叠。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建议组件：指标卡、状态标签、版本时间线、数据表格、详情抽屉、日志面板、索引状态图。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检索链路与索引构建建议提供“链路视图/流程视图”，以增强 RAG 平台特征。</w:t>
      </w:r>
    </w:p>
    <w:p>
      <w:pPr>
        <w:pStyle w:val="Heading1"/>
        <w:spacing w:after="120" w:line="324" w:lineRule="auto"/>
      </w:pPr>
      <w:r>
        <w:rPr>
          <w:rFonts w:ascii="Microsoft YaHei" w:hAnsi="Microsoft YaHei" w:eastAsia="Microsoft YaHei"/>
        </w:rPr>
        <w:t>12. 与其他页面的边界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数据管理页不负责多主问题拆分、用户任务排队、子问题流程编排。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多主问题输入与排队属于上游任务输入/发起页。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系统说明/参数配置页负责方法说明、参数快照、回退策略与推理控制，不承担数据源 CRUD。</w:t>
      </w:r>
    </w:p>
    <w:p>
      <w:pPr>
        <w:pStyle w:val="Heading1"/>
        <w:spacing w:after="120" w:line="324" w:lineRule="auto"/>
      </w:pPr>
      <w:r>
        <w:rPr>
          <w:rFonts w:ascii="Microsoft YaHei" w:hAnsi="Microsoft YaHei" w:eastAsia="Microsoft YaHei"/>
        </w:rPr>
        <w:t>13. MVP 开发优先级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072"/>
            <w:gridSpan w:val="2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0F4C81"/>
              </w:rPr>
              <w:t>优先级建议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P0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数据源管理、检索数据管理、历史数据列表与详情。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P1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领域数据库管理、索引与持久化管理、版本对比。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t>P2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高级统计看板、批量治理工具、索引构建趋势分析。</w:t>
            </w:r>
          </w:p>
        </w:tc>
      </w:tr>
    </w:tbl>
    <w:p/>
    <w:p>
      <w:pPr>
        <w:pStyle w:val="Heading1"/>
        <w:spacing w:after="120" w:line="324" w:lineRule="auto"/>
      </w:pPr>
      <w:r>
        <w:rPr>
          <w:rFonts w:ascii="Microsoft YaHei" w:hAnsi="Microsoft YaHei" w:eastAsia="Microsoft YaHei"/>
        </w:rPr>
        <w:t>14. 最终结论</w:t>
      </w:r>
    </w:p>
    <w:p>
      <w:pPr>
        <w:spacing w:after="0" w:line="324" w:lineRule="auto"/>
      </w:pPr>
      <w:r>
        <w:rPr>
          <w:rFonts w:ascii="Microsoft YaHei" w:hAnsi="Microsoft YaHei" w:eastAsia="Microsoft YaHei"/>
        </w:rPr>
        <w:t>数据管理页应被定义为“面向成熟 RAG 平台的数据资产管理中心”，其核心职责是管理底层知识、检索、索引、版本与持久化资产，而不是承担前台任务调度。前端实现上应突出分层治理、版本与状态意识、检索链路可追溯和平台级 CRUD 能力。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4C8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4C8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