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560" w:after="200"/>
        <w:jc w:val="left"/>
      </w:pPr>
      <w:r>
        <w:rPr>
          <w:rFonts w:ascii="Arial" w:hAnsi="Arial" w:eastAsia="Arial Unicode MS"/>
          <w:b/>
          <w:color w:val="000000"/>
          <w:sz w:val="50"/>
        </w:rPr>
        <w:t>个人食品决策助手第一阶段项目落实计划书</w:t>
      </w:r>
    </w:p>
    <w:p>
      <w:pPr>
        <w:pStyle w:val="DocumentSubtitle"/>
        <w:spacing w:after="360"/>
      </w:pPr>
      <w:r>
        <w:rPr>
          <w:rFonts w:ascii="Arial" w:hAnsi="Arial" w:eastAsia="Arial Unicode MS"/>
          <w:b w:val="0"/>
          <w:color w:val="666666"/>
          <w:sz w:val="24"/>
        </w:rPr>
        <w:t>计划书修订 3  产品目标 v0.1  原生 iOS 个人自用项目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180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项目概况</w:t>
            </w:r>
          </w:p>
        </w:tc>
        <w:tc>
          <w:tcPr>
            <w:tcW w:type="dxa" w:w="799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00"/>
            <w:shd w:fill="DCE6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9"/>
              </w:rPr>
              <w:t>计划书修订</w:t>
            </w:r>
          </w:p>
        </w:tc>
        <w:tc>
          <w:tcPr>
            <w:tcW w:type="dxa" w:w="79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修订 3</w:t>
            </w:r>
          </w:p>
        </w:tc>
      </w:tr>
      <w:tr>
        <w:trPr>
          <w:cantSplit w:val="true"/>
        </w:trPr>
        <w:tc>
          <w:tcPr>
            <w:tcW w:type="dxa" w:w="1800"/>
            <w:shd w:fill="DCE6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9"/>
              </w:rPr>
              <w:t>修订日期</w:t>
            </w:r>
          </w:p>
        </w:tc>
        <w:tc>
          <w:tcPr>
            <w:tcW w:type="dxa" w:w="79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2026 年 9 月 30 日</w:t>
            </w:r>
          </w:p>
        </w:tc>
      </w:tr>
      <w:tr>
        <w:trPr>
          <w:cantSplit w:val="true"/>
        </w:trPr>
        <w:tc>
          <w:tcPr>
            <w:tcW w:type="dxa" w:w="1800"/>
            <w:shd w:fill="DCE6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9"/>
              </w:rPr>
              <w:t>产品目标</w:t>
            </w:r>
          </w:p>
        </w:tc>
        <w:tc>
          <w:tcPr>
            <w:tcW w:type="dxa" w:w="79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v0.1</w:t>
            </w:r>
          </w:p>
        </w:tc>
      </w:tr>
      <w:tr>
        <w:trPr>
          <w:cantSplit w:val="true"/>
        </w:trPr>
        <w:tc>
          <w:tcPr>
            <w:tcW w:type="dxa" w:w="1800"/>
            <w:shd w:fill="DCE6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9"/>
              </w:rPr>
              <w:t>目标设备</w:t>
            </w:r>
          </w:p>
        </w:tc>
        <w:tc>
          <w:tcPr>
            <w:tcW w:type="dxa" w:w="79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iPhone 16 Pro Max、iOS 26.6.2、Apple Watch</w:t>
            </w:r>
          </w:p>
        </w:tc>
      </w:tr>
      <w:tr>
        <w:trPr>
          <w:cantSplit w:val="true"/>
        </w:trPr>
        <w:tc>
          <w:tcPr>
            <w:tcW w:type="dxa" w:w="1800"/>
            <w:shd w:fill="DCE6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9"/>
              </w:rPr>
              <w:t>用户目标</w:t>
            </w:r>
          </w:p>
        </w:tc>
        <w:tc>
          <w:tcPr>
            <w:tcW w:type="dxa" w:w="79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健身小白阶段的减脂增肌，同时处理 LDL 约束、异维 A 酸疗程和清真饮食</w:t>
            </w:r>
          </w:p>
        </w:tc>
      </w:tr>
      <w:tr>
        <w:trPr>
          <w:cantSplit w:val="true"/>
        </w:trPr>
        <w:tc>
          <w:tcPr>
            <w:tcW w:type="dxa" w:w="1800"/>
            <w:shd w:fill="DCE6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9"/>
              </w:rPr>
              <w:t>第一阶段周期</w:t>
            </w:r>
          </w:p>
        </w:tc>
        <w:tc>
          <w:tcPr>
            <w:tcW w:type="dxa" w:w="79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6 周开发，加 2 周个人试用</w:t>
            </w:r>
          </w:p>
        </w:tc>
      </w:tr>
    </w:tbl>
    <w:p/>
    <w:p>
      <w:pPr>
        <w:pStyle w:val="Heading1"/>
        <w:keepNext/>
        <w:spacing w:before="240" w:after="100"/>
      </w:pPr>
      <w:r>
        <w:rPr>
          <w:rFonts w:ascii="Arial" w:hAnsi="Arial" w:eastAsia="Arial Unicode MS"/>
          <w:b/>
          <w:color w:val="000000"/>
          <w:sz w:val="30"/>
        </w:rPr>
        <w:t>项目结论</w:t>
      </w: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第一阶段仍按 6 周开发加 2 周试用推进。修订 3 不增加新的产品模块，重点把开工前发现的规则缺口补齐：维生素 A 补剂采用更严格的红灯条件，营养分给出可编码公式，油脂和酱料改用适合其食用方式的评分依据，并把 OCR 和 HealthKit 的不确定性提前到第 1 周验证。</w:t>
      </w: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购买判断继续分为食品、补剂和清真三个维度。食品先产生绝对营养结论，再单独显示同类比较提示；候选不足不再降低绝对结论。七个关键营养字段明确为能量、脂肪、饱和脂肪、碳水化合物、糖、蛋白质和盐，纤维未标注不会导致待核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194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修订项</w:t>
            </w:r>
          </w:p>
        </w:tc>
        <w:tc>
          <w:tcPr>
            <w:tcW w:type="dxa" w:w="784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修订 3 决定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补剂规则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任何标注维生素 A 的补剂，包括复合维生素和鱼肝油，在疗程内直接判不符合约束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营养评分</w:t>
            </w:r>
          </w:p>
        </w:tc>
        <w:tc>
          <w:tcPr>
            <w:tcW w:type="dxa" w:w="784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新增 0 至 100 分计算公式、分项锚点、品类权重和缺失字段处理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品类例外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油脂按饱和脂肪占总脂肪比例比较；酱料按实际或参考份量评分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冷启动</w:t>
            </w:r>
          </w:p>
        </w:tc>
        <w:tc>
          <w:tcPr>
            <w:tcW w:type="dxa" w:w="784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绝对分数决定值得买或可以考虑；候选库只控制是否显示有更好选择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OCR 字段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明确七个关键字段，纤维作为可选字段；保留快速手工录入兜底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清真规则</w:t>
            </w:r>
          </w:p>
        </w:tc>
        <w:tc>
          <w:tcPr>
            <w:tcW w:type="dxa" w:w="784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补充鱼类海鲜、蛋和混合加工食品，并建立存疑成分词典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HealthKit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第 1 周验证 correlation 更新删除；每个营养样本使用独立同步标识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数据模型</w:t>
            </w:r>
          </w:p>
        </w:tc>
        <w:tc>
          <w:tcPr>
            <w:tcW w:type="dxa" w:w="784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新增容器、待核对队列、评分配置和 HealthKit 同步记录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版本命名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计划书使用修订号，产品继续使用 v0.1、v0.2 等版本号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进度兜底</w:t>
            </w:r>
          </w:p>
        </w:tc>
        <w:tc>
          <w:tcPr>
            <w:tcW w:type="dxa" w:w="784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OCR 未达到 90% 时切换为确认优先或手工优先，不阻塞第 5 周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Arial" w:hAnsi="Arial" w:eastAsia="Arial Unicode MS"/>
          <w:b/>
          <w:color w:val="000000"/>
          <w:sz w:val="30"/>
        </w:rPr>
        <w:t>1 项目范围和成功标准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1.1 第一阶段用户</w:t>
      </w: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sz w:val="21"/>
        </w:rPr>
        <w:t>该版本只服务一个明确用户。用户在英国生活，主要吃中餐家常菜和外卖，愿意称重换取精度，正在进行减脂增肌，并需要把 LDL 偏高、异维 A 酸疗程和清真偏好带入购买与记录流程。用户尚未提出食物过敏，因此 v0.1 不启用过敏原规则；如果后续确认有过敏，再作为硬约束加入。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1.2 第一阶段必须完成的闭环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目标设置：保存每日热量目标、蛋白质下限、饱和脂肪上限和纤维下限，并记录来源、确认日期和有效期。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家常菜称重：记录食材重量、容器皮重、成品重量、个人食用重量、剩菜和复热后的修正。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外卖估算：选择 CoFID 或个人模板，按可食重量生成热量和营养范围，不依赖 AI。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今日页：显示当前摄入、距离目标的差额、日完整度以及 3 天和 7 天完整日平均。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超市扫描：条码优先，OCR 作为补充；允许未核对临时结论，并在确认后生成正式判断。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健康数据：读取步数、活动能量和训练；写入热量、蛋白质、碳水化合物、总脂肪、饱和脂肪和纤维。v0.1 不读取 HealthKit 体重。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1.3 可验证的成功标准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194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784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开发周期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前 6 周完成可安装版本；第 7 至第 8 周只修复阻断问题，不增加功能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个人试用</w:t>
            </w:r>
          </w:p>
        </w:tc>
        <w:tc>
          <w:tcPr>
            <w:tcW w:type="dxa" w:w="784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连续 2 周，每周至少有 5 个完整记录日，并完成至少 2 次超市扫描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称重记录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复用菜谱时 30 秒内完成一餐；首次建菜谱控制在 3 分钟内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外卖记录</w:t>
            </w:r>
          </w:p>
        </w:tc>
        <w:tc>
          <w:tcPr>
            <w:tcW w:type="dxa" w:w="784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常用模板在 30 秒内完成；结果必须显示估值范围和数据来源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OCR 质量目标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30 个标签的七个关键字段在人工修正前达到 90%；未达到时自动采用确认或手工兜底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手工兜底</w:t>
            </w:r>
          </w:p>
        </w:tc>
        <w:tc>
          <w:tcPr>
            <w:tcW w:type="dxa" w:w="784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不依赖 OCR，也能在 60 秒内录完七个字段、配料状态和适用的清真信息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安全边界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已经确认的硬约束不得出现错误绿灯；未经核对的结果不得显示正式绿灯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数据一致性</w:t>
            </w:r>
          </w:p>
        </w:tc>
        <w:tc>
          <w:tcPr>
            <w:tcW w:type="dxa" w:w="784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同一餐新增、编辑或删除后，SwiftData 与 HealthKit 不出现重复记录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1.4 第一阶段不做的内容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训练动作库、渐进超负荷和独立 Apple Watch 训练界面。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AI 外卖识别、自动下一餐建议和自动训练日热量调整。下一餐建议移到 v0.2。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社区、好友、公开商品评价和众包审核。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自动解释 LDL、甘油三酯、肝功能或肌肉症状。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在没有已声明过敏的情况下建立过敏原规则。</w:t>
      </w:r>
    </w:p>
    <w:p>
      <w:pPr>
        <w:pStyle w:val="Heading1"/>
        <w:keepNext/>
        <w:spacing w:before="240" w:after="100"/>
      </w:pPr>
      <w:r>
        <w:rPr>
          <w:rFonts w:ascii="Arial" w:hAnsi="Arial" w:eastAsia="Arial Unicode MS"/>
          <w:b/>
          <w:color w:val="000000"/>
          <w:sz w:val="30"/>
        </w:rPr>
        <w:t>2 记录流程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2.1 目标设置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1. 输入年龄、身高、当前体重、目标体重和每周训练次数。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2. 手工输入或确认每日热量、蛋白质、饱和脂肪和纤维目标。App 不擅自生成医疗阈值。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3. 为每个目标保存来源，例如用户决定、医生要求或营养师建议，并保存确认日期。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4. 目标变更时创建新版本，不覆盖历史记录。当天差额按当日生效的目标计算。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2.2 家常菜称重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1. 选择已有菜谱或新建菜谱，通过大号数字键盘录入食材克数。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2. 选择已保存的容器或锅具，系统自动扣除皮重。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3. 记录成品总重量。成品重量自然包含烹饪失水的影响。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4. 按个人食用重量、整盘前后差值或比例分配个人份量。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5. 如有大量汤汁或油留在盘中，可选择扣除剩余汤汁重量。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6. 保存剩余重量。下次食用时重新称量，并按剩余营养重新分配。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7. 同一菜谱完成 3 次后进入稳定期，保存平均成品率和常用份量，减少重复称重。</w:t>
      </w:r>
    </w:p>
    <w:p>
      <w:pPr>
        <w:keepNext w:val="0"/>
        <w:spacing w:before="60" w:after="160" w:line="300" w:lineRule="auto"/>
        <w:jc w:val="center"/>
      </w:pPr>
      <w:r>
        <w:rPr>
          <w:rFonts w:ascii="Arial" w:hAnsi="Arial" w:eastAsia="Arial"/>
          <w:b/>
          <w:color w:val="17365D"/>
          <w:sz w:val="22"/>
        </w:rPr>
        <w:t>个人摄入营养 = 全锅营养 × 个人食用重量 ÷ 成品总重量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2.3 外卖估算餐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1. 选择 CoFID 种子模板或个人常点外卖模板。首批模板包括鸡肉咖喱、鸡肉炒面、鸡肉抓饭和虾咖喱等。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2. 称量可食部分，或输入包装标示的净重。容器重量未知时可先保存整盒重量，并标记需要修正。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3. 按模板每 100g 营养计算中心值。来源有样本范围时使用原范围；只有单一值时，第一版使用可配置的正负 25% 不确定区间。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4. 用户可按餐厅和菜名保存修正系数。再次点同一餐时优先复用上次确认结果。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5. 外卖日志必须保留模板来源、重量、估值上下限和置信度，不伪装成精确值。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2.4 今日页和记录完整度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180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799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定义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完整</w:t>
            </w:r>
          </w:p>
        </w:tc>
        <w:tc>
          <w:tcPr>
            <w:tcW w:type="dxa" w:w="79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当天所有正餐、含热量饮料和零食均已记录；估算餐已确认重量或份量</w:t>
            </w:r>
          </w:p>
        </w:tc>
      </w:tr>
      <w:tr>
        <w:trPr>
          <w:cantSplit w:val="true"/>
        </w:trPr>
        <w:tc>
          <w:tcPr>
            <w:tcW w:type="dxa" w:w="180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部分完整</w:t>
            </w:r>
          </w:p>
        </w:tc>
        <w:tc>
          <w:tcPr>
            <w:tcW w:type="dxa" w:w="79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存在估算范围较宽、容器重量未知或用户明确标记的遗漏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未完成</w:t>
            </w:r>
          </w:p>
        </w:tc>
        <w:tc>
          <w:tcPr>
            <w:tcW w:type="dxa" w:w="79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缺少一餐或用户未完成当日确认</w:t>
            </w:r>
          </w:p>
        </w:tc>
      </w:tr>
    </w:tbl>
    <w:p>
      <w:pPr>
        <w:spacing w:after="0"/>
      </w:pP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今日页显示热量、蛋白质、饱和脂肪和纤维的当前值、目标值与差额。超过上限时显示超出量，不显示负数缺口。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3 天和 7 天视图同时显示日历窗口和完整日平均。未完成日不进入完整日平均，也不按零摄入处理。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3 天窗口少于 2 个完整日、7 天窗口少于 4 个完整日时显示样本不足。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步数、活动能量和 Apple Watch 训练只作背景信息，不直接增加可吃额度。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2.5 超市标签扫描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1. 扫描条码，并依次查询本地商品库和 Open Food Facts。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2. 未命中或数据不完整时，拍摄营养表、配料表、清真认证标志和可选价签。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3. Vision 在设备上识别七个关键营养字段：能量、脂肪、饱和脂肪、碳水化合物、糖、蛋白质和盐。解析器统一 kcal、kJ、每份、每 100g、每 100ml、盐和钠。纤维单独保存为可选字段。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4. 先搜索明确违规证据。发现已经核验的冲突时直接返回不符合约束，不因其他字段缺失而降为无法判断。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5. 没有明确冲突时检查当前品类需要的字段、配料和认证状态。七个关键字段缺失或尚未确认时返回待核对；英国标签未标纤维时不因此阻断正式结论。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6. 完成核对后按品类计算绝对营养分，先给出不建议、可以考虑或值得买，再在有真实同类候选时追加有更好选择提示。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7. OCR 达不到质量目标时，界面切换为逐字段确认或快速手工录入；该兜底流程必须能独立生成正式结论。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8. 保存原始图片、OCR 候选、人工修正、规则版本和最终结论，便于以后复查。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2.6 货架前的临时结论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237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741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触发条件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疑似不符合约束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OCR 发现维生素 A 补剂、未认证肉类或其他硬约束证据，但尚未人工确认</w:t>
            </w:r>
          </w:p>
        </w:tc>
      </w:tr>
      <w:tr>
        <w:trPr>
          <w:cantSplit w:val="true"/>
        </w:trPr>
        <w:tc>
          <w:tcPr>
            <w:tcW w:type="dxa" w:w="237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待核对</w:t>
            </w:r>
          </w:p>
        </w:tc>
        <w:tc>
          <w:tcPr>
            <w:tcW w:type="dxa" w:w="741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七个关键字段、配料、单位、品类或适用的认证状态尚未确认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正式结论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七个关键字段、配料和适用的认证状态已经确认；纤维缺失不阻断</w:t>
            </w:r>
          </w:p>
        </w:tc>
      </w:tr>
    </w:tbl>
    <w:p>
      <w:pPr>
        <w:spacing w:after="0"/>
      </w:pP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sz w:val="21"/>
        </w:rPr>
        <w:t>临时结论可以提示风险，但不得显示值得买。用户回家后可以进入待核对列表，逐项确认或修正。</w:t>
      </w:r>
    </w:p>
    <w:p>
      <w:pPr>
        <w:pStyle w:val="Heading1"/>
        <w:keepNext/>
        <w:spacing w:before="240" w:after="100"/>
      </w:pPr>
      <w:r>
        <w:rPr>
          <w:rFonts w:ascii="Arial" w:hAnsi="Arial" w:eastAsia="Arial Unicode MS"/>
          <w:b/>
          <w:color w:val="000000"/>
          <w:sz w:val="30"/>
        </w:rPr>
        <w:t>3 决策引擎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3.1 判断顺序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89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223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检查</w:t>
            </w:r>
          </w:p>
        </w:tc>
        <w:tc>
          <w:tcPr>
            <w:tcW w:type="dxa" w:w="6667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处理</w:t>
            </w:r>
          </w:p>
        </w:tc>
      </w:tr>
      <w:tr>
        <w:trPr>
          <w:cantSplit w:val="true"/>
        </w:trPr>
        <w:tc>
          <w:tcPr>
            <w:tcW w:type="dxa" w:w="8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明确违规证据</w:t>
            </w:r>
          </w:p>
        </w:tc>
        <w:tc>
          <w:tcPr>
            <w:tcW w:type="dxa" w:w="66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已核验的药物或用户硬约束命中后，直接返回不符合约束</w:t>
            </w:r>
          </w:p>
        </w:tc>
      </w:tr>
      <w:tr>
        <w:trPr>
          <w:cantSplit w:val="true"/>
        </w:trPr>
        <w:tc>
          <w:tcPr>
            <w:tcW w:type="dxa" w:w="8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23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数据完整度</w:t>
            </w:r>
          </w:p>
        </w:tc>
        <w:tc>
          <w:tcPr>
            <w:tcW w:type="dxa" w:w="6667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没有明确冲突时检查该产品类型的必需字段；不足时返回待核对</w:t>
            </w:r>
          </w:p>
        </w:tc>
      </w:tr>
      <w:tr>
        <w:trPr>
          <w:cantSplit w:val="true"/>
        </w:trPr>
        <w:tc>
          <w:tcPr>
            <w:tcW w:type="dxa" w:w="8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产品类型分流</w:t>
            </w:r>
          </w:p>
        </w:tc>
        <w:tc>
          <w:tcPr>
            <w:tcW w:type="dxa" w:w="66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补剂走独立出口；普通食品继续处理清真标记和营养评分</w:t>
            </w:r>
          </w:p>
        </w:tc>
      </w:tr>
      <w:tr>
        <w:trPr>
          <w:cantSplit w:val="true"/>
        </w:trPr>
        <w:tc>
          <w:tcPr>
            <w:tcW w:type="dxa" w:w="8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23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清真标记</w:t>
            </w:r>
          </w:p>
        </w:tc>
        <w:tc>
          <w:tcPr>
            <w:tcW w:type="dxa" w:w="6667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按品类规则生成独立状态，并按用户设置决定是否构成硬约束</w:t>
            </w:r>
          </w:p>
        </w:tc>
      </w:tr>
      <w:tr>
        <w:trPr>
          <w:cantSplit w:val="true"/>
        </w:trPr>
        <w:tc>
          <w:tcPr>
            <w:tcW w:type="dxa" w:w="8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绝对营养结论</w:t>
            </w:r>
          </w:p>
        </w:tc>
        <w:tc>
          <w:tcPr>
            <w:tcW w:type="dxa" w:w="66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使用版本化品类权重，生成不建议、可以考虑或值得买</w:t>
            </w:r>
          </w:p>
        </w:tc>
      </w:tr>
      <w:tr>
        <w:trPr>
          <w:cantSplit w:val="true"/>
        </w:trPr>
        <w:tc>
          <w:tcPr>
            <w:tcW w:type="dxa" w:w="8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223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同类比较提示</w:t>
            </w:r>
          </w:p>
        </w:tc>
        <w:tc>
          <w:tcPr>
            <w:tcW w:type="dxa" w:w="6667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存在真实候选并达到差值阈值时，追加有更好选择；不覆盖绝对结论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3.2 食品结论和优先级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1655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输出层</w:t>
            </w:r>
          </w:p>
        </w:tc>
        <w:tc>
          <w:tcPr>
            <w:tcW w:type="dxa" w:w="194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619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条件</w:t>
            </w:r>
          </w:p>
        </w:tc>
      </w:tr>
      <w:tr>
        <w:trPr>
          <w:cantSplit w:val="true"/>
        </w:trPr>
        <w:tc>
          <w:tcPr>
            <w:tcW w:type="dxa" w:w="16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硬约束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不符合约束</w:t>
            </w:r>
          </w:p>
        </w:tc>
        <w:tc>
          <w:tcPr>
            <w:tcW w:type="dxa" w:w="61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命中已启用、已有来源且已核验的硬约束</w:t>
            </w:r>
          </w:p>
        </w:tc>
      </w:tr>
      <w:tr>
        <w:trPr>
          <w:cantSplit w:val="true"/>
        </w:trPr>
        <w:tc>
          <w:tcPr>
            <w:tcW w:type="dxa" w:w="1655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完整度</w:t>
            </w:r>
          </w:p>
        </w:tc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待核对</w:t>
            </w:r>
          </w:p>
        </w:tc>
        <w:tc>
          <w:tcPr>
            <w:tcW w:type="dxa" w:w="61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缺少该品类的必需字段，或扫描结果尚未人工确认</w:t>
            </w:r>
          </w:p>
        </w:tc>
      </w:tr>
      <w:tr>
        <w:trPr>
          <w:cantSplit w:val="true"/>
        </w:trPr>
        <w:tc>
          <w:tcPr>
            <w:tcW w:type="dxa" w:w="16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绝对结论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不建议</w:t>
            </w:r>
          </w:p>
        </w:tc>
        <w:tc>
          <w:tcPr>
            <w:tcW w:type="dxa" w:w="61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营养分低于 45 分；或大份量品类同时触发两个交通灯高值</w:t>
            </w:r>
          </w:p>
        </w:tc>
      </w:tr>
      <w:tr>
        <w:trPr>
          <w:cantSplit w:val="true"/>
        </w:trPr>
        <w:tc>
          <w:tcPr>
            <w:tcW w:type="dxa" w:w="1655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绝对结论</w:t>
            </w:r>
          </w:p>
        </w:tc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可以考虑</w:t>
            </w:r>
          </w:p>
        </w:tc>
        <w:tc>
          <w:tcPr>
            <w:tcW w:type="dxa" w:w="61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营养分为 45 至 69 分，且没有被高值规则覆盖</w:t>
            </w:r>
          </w:p>
        </w:tc>
      </w:tr>
      <w:tr>
        <w:trPr>
          <w:cantSplit w:val="true"/>
        </w:trPr>
        <w:tc>
          <w:tcPr>
            <w:tcW w:type="dxa" w:w="16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绝对结论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值得买</w:t>
            </w:r>
          </w:p>
        </w:tc>
        <w:tc>
          <w:tcPr>
            <w:tcW w:type="dxa" w:w="61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营养分至少 70 分，且没有被高值规则覆盖</w:t>
            </w:r>
          </w:p>
        </w:tc>
      </w:tr>
      <w:tr>
        <w:trPr>
          <w:cantSplit w:val="true"/>
        </w:trPr>
        <w:tc>
          <w:tcPr>
            <w:tcW w:type="dxa" w:w="1655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比较提示</w:t>
            </w:r>
          </w:p>
        </w:tc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有更好选择</w:t>
            </w:r>
          </w:p>
        </w:tc>
        <w:tc>
          <w:tcPr>
            <w:tcW w:type="dxa" w:w="61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真实同类候选高出至少 15 分，并满足主要指标改善条件</w:t>
            </w:r>
          </w:p>
        </w:tc>
      </w:tr>
    </w:tbl>
    <w:p>
      <w:pPr>
        <w:spacing w:after="0"/>
      </w:pP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候选库不参与绝对营养结论。冷启动时，70 分以上仍显示值得买，45 至 69 分仍显示可以考虑；只有比较条件成立时，结果卡才追加有更好选择。分数和阈值是个人工程基线，不是医疗阈值，完成 50 件真实商品测试后再校准。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3.3 补剂的独立出口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216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补剂结论</w:t>
            </w:r>
          </w:p>
        </w:tc>
        <w:tc>
          <w:tcPr>
            <w:tcW w:type="dxa" w:w="763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使用条件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不符合约束</w:t>
            </w:r>
          </w:p>
        </w:tc>
        <w:tc>
          <w:tcPr>
            <w:tcW w:type="dxa" w:w="76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异维 A 酸疗程有效，且标签确认该补剂提供维生素 A；包括复合维生素、鱼肝油以及标注 vitamin A、retinol、retinyl acetate、retinyl palmitate 或 vitamin A from beta-carotene 的产品</w:t>
            </w:r>
          </w:p>
        </w:tc>
      </w:tr>
      <w:tr>
        <w:trPr>
          <w:cantSplit w:val="true"/>
        </w:trPr>
        <w:tc>
          <w:tcPr>
            <w:tcW w:type="dxa" w:w="216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需咨询药师</w:t>
            </w:r>
          </w:p>
        </w:tc>
        <w:tc>
          <w:tcPr>
            <w:tcW w:type="dxa" w:w="763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产品只标 β 胡萝卜素且未标为维生素 A，维生素 A 形式或来源不明，标签不完整，或其他个人补剂规则尚未由药师确认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未发现冲突</w:t>
            </w:r>
          </w:p>
        </w:tc>
        <w:tc>
          <w:tcPr>
            <w:tcW w:type="dxa" w:w="76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药师已经确认规则范围，标签完整，且没有命中任何已启用冲突；此结论不表示医学安全保证</w:t>
            </w:r>
          </w:p>
        </w:tc>
      </w:tr>
    </w:tbl>
    <w:p>
      <w:pPr>
        <w:spacing w:after="0"/>
      </w:pP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药师确认之前，未命中明确红灯的补剂默认显示需咨询药师，不能显示未发现冲突。NHS 将维生素 A 补剂和含维生素 A 的补剂都列为不应与异维 A 酸同用，因此复合维生素和鱼肝油不设低剂量例外。普通强化食品仍按食品逻辑处理；只标 β 胡萝卜素且未标为维生素 A 的补剂保留为需咨询药师。</w:t>
      </w: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sz w:val="21"/>
        </w:rPr>
        <w:t>蛋白粉和代餐奶昔同时生成两张结果卡。第一张按食品逻辑评估热量、蛋白质和饱和脂肪；第二张按补剂逻辑检查维生素和活性成分。任何补剂红灯都会覆盖营养评分。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3.4 清真状态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2951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清真标记</w:t>
            </w:r>
          </w:p>
        </w:tc>
        <w:tc>
          <w:tcPr>
            <w:tcW w:type="dxa" w:w="684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产品目标 v0.1 定义</w:t>
            </w:r>
          </w:p>
        </w:tc>
      </w:tr>
      <w:tr>
        <w:trPr>
          <w:cantSplit w:val="true"/>
        </w:trPr>
        <w:tc>
          <w:tcPr>
            <w:tcW w:type="dxa" w:w="29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已认证</w:t>
            </w:r>
          </w:p>
        </w:tc>
        <w:tc>
          <w:tcPr>
            <w:tcW w:type="dxa" w:w="68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存在用户认可机构的有效认证</w:t>
            </w:r>
          </w:p>
        </w:tc>
      </w:tr>
      <w:tr>
        <w:trPr>
          <w:cantSplit w:val="true"/>
        </w:trPr>
        <w:tc>
          <w:tcPr>
            <w:tcW w:type="dxa" w:w="2951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成分未见冲突但无认证</w:t>
            </w:r>
          </w:p>
        </w:tc>
        <w:tc>
          <w:tcPr>
            <w:tcW w:type="dxa" w:w="684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植物性食品、乳制品、蛋，或在用户接受范围内的原形鱼类海鲜，完整配料未发现冲突</w:t>
            </w:r>
          </w:p>
        </w:tc>
      </w:tr>
      <w:tr>
        <w:trPr>
          <w:cantSplit w:val="true"/>
        </w:trPr>
        <w:tc>
          <w:tcPr>
            <w:tcW w:type="dxa" w:w="29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存疑</w:t>
            </w:r>
          </w:p>
        </w:tc>
        <w:tc>
          <w:tcPr>
            <w:tcW w:type="dxa" w:w="68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混合加工食品含来源不明的动物性、加工助剂或含酒精香精等成分，需要进一步证明</w:t>
            </w:r>
          </w:p>
        </w:tc>
      </w:tr>
      <w:tr>
        <w:trPr>
          <w:cantSplit w:val="true"/>
        </w:trPr>
        <w:tc>
          <w:tcPr>
            <w:tcW w:type="dxa" w:w="2951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不接受</w:t>
            </w:r>
          </w:p>
        </w:tc>
        <w:tc>
          <w:tcPr>
            <w:tcW w:type="dxa" w:w="684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肉类或含明胶商品没有用户认可的认证，或发现明确冲突成分</w:t>
            </w:r>
          </w:p>
        </w:tc>
      </w:tr>
    </w:tbl>
    <w:p>
      <w:pPr>
        <w:spacing w:after="0"/>
      </w:pP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清真标记显示在食品结论旁边，不再把认证来源不明自动映射为无法判断。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肉类和含明胶商品必须有用户认可的认证。原形蛋默认按成分未见冲突处理；原形鱼类海鲜按用户配置的物种范围处理，甲壳类和软体动物不由 App 擅自裁决。加工鱼类、蛋制品、植物性食品和乳制品仍需检查完整配料。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混合加工食品如含肉、明胶或其衍生成分，必须满足相应认证规则；其他商品进入存疑词典检查。首批存疑词包括凝乳酶、乳清、L-半胱氨酸、胭脂虫红或 E120、虫胶或 E904，以及含酒精的香精。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遇到存疑成分时，由用户选择严格模式或允许暂存模式。该设置只表达个人接受标准，不代表 App 作教法裁决。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3.5 第一版参考线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194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612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第一版阈值</w:t>
            </w:r>
          </w:p>
        </w:tc>
        <w:tc>
          <w:tcPr>
            <w:tcW w:type="dxa" w:w="172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性质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固体食品高值</w:t>
            </w:r>
          </w:p>
        </w:tc>
        <w:tc>
          <w:tcPr>
            <w:tcW w:type="dxa" w:w="61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饱和脂肪大于 5g/100g；糖大于 22.5g/100g；盐大于 1.5g/100g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英国交通灯参考线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饮料高值</w:t>
            </w:r>
          </w:p>
        </w:tc>
        <w:tc>
          <w:tcPr>
            <w:tcW w:type="dxa" w:w="612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饱和脂肪大于 2.5g/100ml；糖大于 11.25g/100ml；盐大于 0.75g/100ml</w:t>
            </w:r>
          </w:p>
        </w:tc>
        <w:tc>
          <w:tcPr>
            <w:tcW w:type="dxa" w:w="172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英国交通灯参考线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纤维来源</w:t>
            </w:r>
          </w:p>
        </w:tc>
        <w:tc>
          <w:tcPr>
            <w:tcW w:type="dxa" w:w="61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至少 3g/100g 或 1.5g/100kcal；高纤维为至少 6g/100g 或 3g/100kcal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英国营养声称门槛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高蛋白声称</w:t>
            </w:r>
          </w:p>
        </w:tc>
        <w:tc>
          <w:tcPr>
            <w:tcW w:type="dxa" w:w="612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至少 20% 能量来自蛋白质</w:t>
            </w:r>
          </w:p>
        </w:tc>
        <w:tc>
          <w:tcPr>
            <w:tcW w:type="dxa" w:w="172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英国营养声称门槛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个人蛋白密度</w:t>
            </w:r>
          </w:p>
        </w:tc>
        <w:tc>
          <w:tcPr>
            <w:tcW w:type="dxa" w:w="61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至少 10g/100kcal 为强，6 至 10g 为中，低于 6g 为弱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个人工程基线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油脂</w:t>
            </w:r>
          </w:p>
        </w:tc>
        <w:tc>
          <w:tcPr>
            <w:tcW w:type="dxa" w:w="612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按饱和脂肪占总脂肪比例评分，只与相同用途油脂比较</w:t>
            </w:r>
          </w:p>
        </w:tc>
        <w:tc>
          <w:tcPr>
            <w:tcW w:type="dxa" w:w="172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品类工程基线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酱料调味品</w:t>
            </w:r>
          </w:p>
        </w:tc>
        <w:tc>
          <w:tcPr>
            <w:tcW w:type="dxa" w:w="61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按实际份量评分；未设置时使用 15g 参考份量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品类工程基线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更好选择</w:t>
            </w:r>
          </w:p>
        </w:tc>
        <w:tc>
          <w:tcPr>
            <w:tcW w:type="dxa" w:w="612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候选至少高 15 分，并改善主要指标至少 20%，且饱和脂肪或盐不得恶化超过 10%</w:t>
            </w:r>
          </w:p>
        </w:tc>
        <w:tc>
          <w:tcPr>
            <w:tcW w:type="dxa" w:w="172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比较提示基线</w:t>
            </w:r>
          </w:p>
        </w:tc>
      </w:tr>
    </w:tbl>
    <w:p>
      <w:pPr>
        <w:spacing w:after="0"/>
      </w:pP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冷启动时使用绝对分数产生值得买、可以考虑或不建议。候选不足只隐藏有更好选择，不改变绝对结论。评分配置在第 1 周写入版本化 JSON，并为每项保存适用品类、来源、版本和生效日期。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3.6 营养分计算</w:t>
      </w: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sz w:val="21"/>
        </w:rPr>
        <w:t>每个适用分项先换算为 0 至 100 分，再按品类权重计算加权平均。最终分数 = round〔Σ 分项分数 × 权重 ÷ Σ 有效权重〕，并限制在 0 至 100。必需字段缺失时不计算；纤维等可选字段未标注时，将其权重按比例分配给该品类其余有效分项。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 w:val="true"/>
        </w:trPr>
        <w:tc>
          <w:tcPr>
            <w:tcW w:type="dxa" w:w="194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分项</w:t>
            </w:r>
          </w:p>
        </w:tc>
        <w:tc>
          <w:tcPr>
            <w:tcW w:type="dxa" w:w="266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0 分锚点</w:t>
            </w:r>
          </w:p>
        </w:tc>
        <w:tc>
          <w:tcPr>
            <w:tcW w:type="dxa" w:w="252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100 分锚点</w:t>
            </w:r>
          </w:p>
        </w:tc>
        <w:tc>
          <w:tcPr>
            <w:tcW w:type="dxa" w:w="266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蛋白质密度</w:t>
            </w:r>
          </w:p>
        </w:tc>
        <w:tc>
          <w:tcPr>
            <w:tcW w:type="dxa" w:w="26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不高于 2g/100kcal</w:t>
            </w:r>
          </w:p>
        </w:tc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至少 10g/100kcal</w:t>
            </w:r>
          </w:p>
        </w:tc>
        <w:tc>
          <w:tcPr>
            <w:tcW w:type="dxa" w:w="26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两端之间线性插值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纤维密度</w:t>
            </w:r>
          </w:p>
        </w:tc>
        <w:tc>
          <w:tcPr>
            <w:tcW w:type="dxa" w:w="266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0g/100kcal</w:t>
            </w:r>
          </w:p>
        </w:tc>
        <w:tc>
          <w:tcPr>
            <w:tcW w:type="dxa" w:w="252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至少 3g/100kcal</w:t>
            </w:r>
          </w:p>
        </w:tc>
        <w:tc>
          <w:tcPr>
            <w:tcW w:type="dxa" w:w="266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可选字段；缺失时重分权重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饱和脂肪</w:t>
            </w:r>
          </w:p>
        </w:tc>
        <w:tc>
          <w:tcPr>
            <w:tcW w:type="dxa" w:w="26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至少 20% 能量来自饱和脂肪</w:t>
            </w:r>
          </w:p>
        </w:tc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不高于 5%</w:t>
            </w:r>
          </w:p>
        </w:tc>
        <w:tc>
          <w:tcPr>
            <w:tcW w:type="dxa" w:w="26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一般食品按能量占比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糖</w:t>
            </w:r>
          </w:p>
        </w:tc>
        <w:tc>
          <w:tcPr>
            <w:tcW w:type="dxa" w:w="266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达到该固体或饮料高值线</w:t>
            </w:r>
          </w:p>
        </w:tc>
        <w:tc>
          <w:tcPr>
            <w:tcW w:type="dxa" w:w="252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266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按每 100g 或 100ml 线性插值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盐</w:t>
            </w:r>
          </w:p>
        </w:tc>
        <w:tc>
          <w:tcPr>
            <w:tcW w:type="dxa" w:w="26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达到该固体或饮料高值线</w:t>
            </w:r>
          </w:p>
        </w:tc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26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按每 100g 或 100ml 线性插值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能量密度</w:t>
            </w:r>
          </w:p>
        </w:tc>
        <w:tc>
          <w:tcPr>
            <w:tcW w:type="dxa" w:w="266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固体 500kcal/100g；饮料 100kcal/100ml</w:t>
            </w:r>
          </w:p>
        </w:tc>
        <w:tc>
          <w:tcPr>
            <w:tcW w:type="dxa" w:w="252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固体 100kcal/100g；饮料 0</w:t>
            </w:r>
          </w:p>
        </w:tc>
        <w:tc>
          <w:tcPr>
            <w:tcW w:type="dxa" w:w="266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两端之间线性插值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油脂饱和脂肪占比</w:t>
            </w:r>
          </w:p>
        </w:tc>
        <w:tc>
          <w:tcPr>
            <w:tcW w:type="dxa" w:w="26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至少占总脂肪 25%</w:t>
            </w:r>
          </w:p>
        </w:tc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不高于 10%</w:t>
            </w:r>
          </w:p>
        </w:tc>
        <w:tc>
          <w:tcPr>
            <w:tcW w:type="dxa" w:w="26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只用于油脂品类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230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购买品类</w:t>
            </w:r>
          </w:p>
        </w:tc>
        <w:tc>
          <w:tcPr>
            <w:tcW w:type="dxa" w:w="748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分项权重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蛋白质主菜</w:t>
            </w:r>
          </w:p>
        </w:tc>
        <w:tc>
          <w:tcPr>
            <w:tcW w:type="dxa" w:w="74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蛋白质 35；纤维 10；饱和脂肪 30；盐 15；能量 10</w:t>
            </w:r>
          </w:p>
        </w:tc>
      </w:tr>
      <w:tr>
        <w:trPr>
          <w:cantSplit w:val="true"/>
        </w:trPr>
        <w:tc>
          <w:tcPr>
            <w:tcW w:type="dxa" w:w="230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主食和谷物</w:t>
            </w:r>
          </w:p>
        </w:tc>
        <w:tc>
          <w:tcPr>
            <w:tcW w:type="dxa" w:w="748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蛋白质 15；纤维 30；饱和脂肪 20；糖 20；盐 15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混合餐食</w:t>
            </w:r>
          </w:p>
        </w:tc>
        <w:tc>
          <w:tcPr>
            <w:tcW w:type="dxa" w:w="74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蛋白质 25；纤维 20；饱和脂肪 25；盐 20；能量 10</w:t>
            </w:r>
          </w:p>
        </w:tc>
      </w:tr>
      <w:tr>
        <w:trPr>
          <w:cantSplit w:val="true"/>
        </w:trPr>
        <w:tc>
          <w:tcPr>
            <w:tcW w:type="dxa" w:w="230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零食和甜点</w:t>
            </w:r>
          </w:p>
        </w:tc>
        <w:tc>
          <w:tcPr>
            <w:tcW w:type="dxa" w:w="748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蛋白质 10；纤维 20；饱和脂肪 25；糖 30；能量 15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饮料</w:t>
            </w:r>
          </w:p>
        </w:tc>
        <w:tc>
          <w:tcPr>
            <w:tcW w:type="dxa" w:w="74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蛋白质 15；饱和脂肪 20；糖 45；能量 20</w:t>
            </w:r>
          </w:p>
        </w:tc>
      </w:tr>
      <w:tr>
        <w:trPr>
          <w:cantSplit w:val="true"/>
        </w:trPr>
        <w:tc>
          <w:tcPr>
            <w:tcW w:type="dxa" w:w="230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油脂</w:t>
            </w:r>
          </w:p>
        </w:tc>
        <w:tc>
          <w:tcPr>
            <w:tcW w:type="dxa" w:w="748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油脂饱和脂肪占比 100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酱料和调味品</w:t>
            </w:r>
          </w:p>
        </w:tc>
        <w:tc>
          <w:tcPr>
            <w:tcW w:type="dxa" w:w="74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每份盐 50；每份糖 25；每份饱和脂肪 15；每份能量 10</w:t>
            </w:r>
          </w:p>
        </w:tc>
      </w:tr>
    </w:tbl>
    <w:p>
      <w:pPr>
        <w:spacing w:after="0"/>
      </w:pP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sz w:val="21"/>
        </w:rPr>
        <w:t>交通灯高值继续展示，但只有参考份量至少 100g 的固体食品或至少 150ml 的饮料同时出现两个高值时，才直接覆盖为不建议。油脂、酱料和调味品不使用每 100g 的双高值覆盖规则；它们分别按脂肪构成和实际份量评分。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3.7 医疗边界</w:t>
      </w: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sz w:val="21"/>
        </w:rPr>
        <w:t>普通食物天然含有维生素 A 时不自动禁食。NHS 说明异维 A 酸治疗期间通常可以正常饮食，但应避免维生素 A 补剂。疗程规则必须保存开始日期和结束日期；疗程结束后自动失效，并提示用户重新确认。实验室数据只用于记录和与医生沟通，不进入自动诊断。</w:t>
      </w:r>
    </w:p>
    <w:p>
      <w:pPr>
        <w:pStyle w:val="Heading1"/>
        <w:keepNext/>
        <w:spacing w:before="240" w:after="100"/>
      </w:pPr>
      <w:r>
        <w:rPr>
          <w:rFonts w:ascii="Arial" w:hAnsi="Arial" w:eastAsia="Arial Unicode MS"/>
          <w:b/>
          <w:color w:val="000000"/>
          <w:sz w:val="30"/>
        </w:rPr>
        <w:t>4 数据和技术架构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4.1 技术栈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180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层</w:t>
            </w:r>
          </w:p>
        </w:tc>
        <w:tc>
          <w:tcPr>
            <w:tcW w:type="dxa" w:w="799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选择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界面</w:t>
            </w:r>
          </w:p>
        </w:tc>
        <w:tc>
          <w:tcPr>
            <w:tcW w:type="dxa" w:w="79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SwiftUI、Observation、Charts</w:t>
            </w:r>
          </w:p>
        </w:tc>
      </w:tr>
      <w:tr>
        <w:trPr>
          <w:cantSplit w:val="true"/>
        </w:trPr>
        <w:tc>
          <w:tcPr>
            <w:tcW w:type="dxa" w:w="180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业务数据</w:t>
            </w:r>
          </w:p>
        </w:tc>
        <w:tc>
          <w:tcPr>
            <w:tcW w:type="dxa" w:w="79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SwiftData、VersionedSchema、本地优先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扫描</w:t>
            </w:r>
          </w:p>
        </w:tc>
        <w:tc>
          <w:tcPr>
            <w:tcW w:type="dxa" w:w="79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Vision RecognizeDocumentsRequest、条码检测、PhotosUI</w:t>
            </w:r>
          </w:p>
        </w:tc>
      </w:tr>
      <w:tr>
        <w:trPr>
          <w:cantSplit w:val="true"/>
        </w:trPr>
        <w:tc>
          <w:tcPr>
            <w:tcW w:type="dxa" w:w="180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健康数据</w:t>
            </w:r>
          </w:p>
        </w:tc>
        <w:tc>
          <w:tcPr>
            <w:tcW w:type="dxa" w:w="79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HealthKit、统计查询、food correlation、同步标识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网络</w:t>
            </w:r>
          </w:p>
        </w:tc>
        <w:tc>
          <w:tcPr>
            <w:tcW w:type="dxa" w:w="79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URLSession、Open Food Facts、USDA FoodData Central</w:t>
            </w:r>
          </w:p>
        </w:tc>
      </w:tr>
      <w:tr>
        <w:trPr>
          <w:cantSplit w:val="true"/>
        </w:trPr>
        <w:tc>
          <w:tcPr>
            <w:tcW w:type="dxa" w:w="180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AI</w:t>
            </w:r>
          </w:p>
        </w:tc>
        <w:tc>
          <w:tcPr>
            <w:tcW w:type="dxa" w:w="79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FoodVisionProvider 协议，仅为困难图片和后续 AI 外卖识别预留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安全</w:t>
            </w:r>
          </w:p>
        </w:tc>
        <w:tc>
          <w:tcPr>
            <w:tcW w:type="dxa" w:w="79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Keychain 保存 API Key，图片重编码后再上传</w:t>
            </w:r>
          </w:p>
        </w:tc>
      </w:tr>
      <w:tr>
        <w:trPr>
          <w:cantSplit w:val="true"/>
        </w:trPr>
        <w:tc>
          <w:tcPr>
            <w:tcW w:type="dxa" w:w="180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导出</w:t>
            </w:r>
          </w:p>
        </w:tc>
        <w:tc>
          <w:tcPr>
            <w:tcW w:type="dxa" w:w="79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JSON 全量备份，CSV 饮食和商品记录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4.2 数据源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208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288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482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落地要求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CoFID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英国常见食材、成品菜和外卖模板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筛选后本地导入；保存数据版本和原始食物代码</w:t>
            </w:r>
          </w:p>
        </w:tc>
      </w:tr>
      <w:tr>
        <w:trPr>
          <w:cantSplit w:val="true"/>
        </w:trPr>
        <w:tc>
          <w:tcPr>
            <w:tcW w:type="dxa" w:w="208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USDA FoodData Central</w:t>
            </w:r>
          </w:p>
        </w:tc>
        <w:tc>
          <w:tcPr>
            <w:tcW w:type="dxa" w:w="288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通用食材和补充微量营养</w:t>
            </w:r>
          </w:p>
        </w:tc>
        <w:tc>
          <w:tcPr>
            <w:tcW w:type="dxa" w:w="482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远程搜索后保存快照；API Key 放入 Keychain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Open Food Facts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英国条码商品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条码查询优先；保存原始来源、响应时间和人工核对状态</w:t>
            </w:r>
          </w:p>
        </w:tc>
      </w:tr>
      <w:tr>
        <w:trPr>
          <w:cantSplit w:val="true"/>
        </w:trPr>
        <w:tc>
          <w:tcPr>
            <w:tcW w:type="dxa" w:w="208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个人食材和菜谱</w:t>
            </w:r>
          </w:p>
        </w:tc>
        <w:tc>
          <w:tcPr>
            <w:tcW w:type="dxa" w:w="288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中式食材、外卖和常做菜</w:t>
            </w:r>
          </w:p>
        </w:tc>
        <w:tc>
          <w:tcPr>
            <w:tcW w:type="dxa" w:w="482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最高优先级；允许纠错、版本化和复用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商品标签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具体品牌的配料和营养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产品特定判断时优先于外部数据库</w:t>
            </w:r>
          </w:p>
        </w:tc>
      </w:tr>
    </w:tbl>
    <w:p>
      <w:pPr>
        <w:spacing w:after="0"/>
      </w:pP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sz w:val="21"/>
        </w:rPr>
        <w:t>已核对 CoFID 2021 数据集，其中包含 Chicken curry average takeaway、Chicken chow mein takeaway、Chicken biryani takeaway 和 Prawn curry takeaway 等条目，可用于外卖模板的首批种子数据。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4.3 网络和隐私要求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194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84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图片上传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使用 ImageIO 重新编码为新 JPEG 或 HEIC，只保留方向和必要像素；删除 EXIF、GPS、IPTC 和原始文件名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Open Food Facts</w:t>
            </w:r>
          </w:p>
        </w:tc>
        <w:tc>
          <w:tcPr>
            <w:tcW w:type="dxa" w:w="784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设置 AppName/Version ContactEmail 格式的自定义 User Agent；商品查询不超过每分钟 15 次，搜索不超过每分钟 10 次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缓存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条码结果和搜索结果写入本地缓存；命中缓存时不重复请求，30 天后提示刷新而不是强制刷新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第三方 AI</w:t>
            </w:r>
          </w:p>
        </w:tc>
        <w:tc>
          <w:tcPr>
            <w:tcW w:type="dxa" w:w="784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只上传完成当前识别任务所需的裁剪图片，不发送 LDL、用药、清真设置、体重或完整用户档案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日志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不记录 API Key、原始医疗信息、完整配料照片路径或照片位置元数据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4.4 重量和体积单位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FoodItem 保存 measurementBasis，取值为 per100g、per100ml 或 perServing。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牛奶和饮料优先直接记录毫升，不把克数静默当作毫升。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只有在产品或食材存在 DensityProfile 时才执行克与毫升换算，并保存密度来源和温度说明。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用户使用厨房秤称液体时，界面要求选择已知密度或改为量杯输入毫升。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4.5 HealthKit 范围</w:t>
      </w: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每餐使用 HKCorrelation 表示一个 food 对象，并写入 dietaryEnergyConsumed、dietaryProtein、dietaryCarbohydrates、dietaryFatTotal、dietaryFatSaturated 和 dietaryFiber。correlation 使用餐 ID 作为同步标识；每个营养样本使用“餐 ID + 营养素类型”作为独立同步标识，并共享递增版本。第 1 周先实测更新和删除：保存一餐、修改版本、删除 correlation 及其营养样本，再查询确认没有残留或重复。未通过实验前，不假设删除 correlation 会自动删除其中样本。步数和活动能量使用统计查询读取；v0.1 不读取体重。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4.6 核心数据模型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237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741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关键内容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GoalProfile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热量、蛋白质、饱和脂肪和纤维目标；来源、生效日期和版本</w:t>
            </w:r>
          </w:p>
        </w:tc>
      </w:tr>
      <w:tr>
        <w:trPr>
          <w:cantSplit w:val="true"/>
        </w:trPr>
        <w:tc>
          <w:tcPr>
            <w:tcW w:type="dxa" w:w="237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ConstraintRule</w:t>
            </w:r>
          </w:p>
        </w:tc>
        <w:tc>
          <w:tcPr>
            <w:tcW w:type="dxa" w:w="741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规则类型、证据来源、版本、有效期、严重度和用户确认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ScoreProfile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购买品类、分项权重、锚点、参考份量、版本和生效日期</w:t>
            </w:r>
          </w:p>
        </w:tc>
      </w:tr>
      <w:tr>
        <w:trPr>
          <w:cantSplit w:val="true"/>
        </w:trPr>
        <w:tc>
          <w:tcPr>
            <w:tcW w:type="dxa" w:w="237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FoodItem</w:t>
            </w:r>
          </w:p>
        </w:tc>
        <w:tc>
          <w:tcPr>
            <w:tcW w:type="dxa" w:w="741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来源 ID、品类、measurementBasis、参考份量、营养、密度、版本和核对状态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ProductSnapshot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条码、标签原文、配料、营养、价格、店铺、日期和照片</w:t>
            </w:r>
          </w:p>
        </w:tc>
      </w:tr>
      <w:tr>
        <w:trPr>
          <w:cantSplit w:val="true"/>
        </w:trPr>
        <w:tc>
          <w:tcPr>
            <w:tcW w:type="dxa" w:w="237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ContainerProfile</w:t>
            </w:r>
          </w:p>
        </w:tc>
        <w:tc>
          <w:tcPr>
            <w:tcW w:type="dxa" w:w="741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容器名称、皮重、单位、最近使用时间和校准日期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ReviewQueueItem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待核对类型、缺失字段、OCR 候选、优先级、状态和来源对象</w:t>
            </w:r>
          </w:p>
        </w:tc>
      </w:tr>
      <w:tr>
        <w:trPr>
          <w:cantSplit w:val="true"/>
        </w:trPr>
        <w:tc>
          <w:tcPr>
            <w:tcW w:type="dxa" w:w="237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RecipeBatch</w:t>
            </w:r>
          </w:p>
        </w:tc>
        <w:tc>
          <w:tcPr>
            <w:tcW w:type="dxa" w:w="741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食材、容器皮重、成品重、剩余重、成品率和稳定期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TakeawayTemplate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CoFID 或个人来源、每 100g 营养、范围和餐厅修正</w:t>
            </w:r>
          </w:p>
        </w:tc>
      </w:tr>
      <w:tr>
        <w:trPr>
          <w:cantSplit w:val="true"/>
        </w:trPr>
        <w:tc>
          <w:tcPr>
            <w:tcW w:type="dxa" w:w="237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MealLog</w:t>
            </w:r>
          </w:p>
        </w:tc>
        <w:tc>
          <w:tcPr>
            <w:tcW w:type="dxa" w:w="741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餐次、重量、营养快照、估算范围、完整度和 HealthKit 同步版本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HealthKitSyncRecord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餐 ID、对象类型、同步标识、版本、HealthKit UUID 和删除状态</w:t>
            </w:r>
          </w:p>
        </w:tc>
      </w:tr>
      <w:tr>
        <w:trPr>
          <w:cantSplit w:val="true"/>
        </w:trPr>
        <w:tc>
          <w:tcPr>
            <w:tcW w:type="dxa" w:w="237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DailySnapshot</w:t>
            </w:r>
          </w:p>
        </w:tc>
        <w:tc>
          <w:tcPr>
            <w:tcW w:type="dxa" w:w="741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目标版本、每日摄入、完整度、滚动统计和 HealthKit 活动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Assessment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绝对食品结论、比较提示、补剂结论、清真标记、分数和证据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Arial" w:hAnsi="Arial" w:eastAsia="Arial Unicode MS"/>
          <w:b/>
          <w:color w:val="000000"/>
          <w:sz w:val="30"/>
        </w:rPr>
        <w:t>5 八周实施计划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 w:val="true"/>
        </w:trPr>
        <w:tc>
          <w:tcPr>
            <w:tcW w:type="dxa" w:w="10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周期</w:t>
            </w:r>
          </w:p>
        </w:tc>
        <w:tc>
          <w:tcPr>
            <w:tcW w:type="dxa" w:w="172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45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主要任务</w:t>
            </w:r>
          </w:p>
        </w:tc>
        <w:tc>
          <w:tcPr>
            <w:tcW w:type="dxa" w:w="2491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完成定义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第 1 周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基础和规则</w:t>
            </w:r>
          </w:p>
        </w:tc>
        <w:tc>
          <w:tcPr>
            <w:tcW w:type="dxa" w:w="45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建立项目和 VersionedSchema；写补剂规则、评分公式和品类权重；完成 HealthKit 更新删除实验</w:t>
            </w:r>
          </w:p>
        </w:tc>
        <w:tc>
          <w:tcPr>
            <w:tcW w:type="dxa" w:w="249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规则测试可运行；HealthKit 实验记录明确；确定付费账号</w:t>
            </w:r>
          </w:p>
        </w:tc>
      </w:tr>
      <w:tr>
        <w:trPr>
          <w:cantSplit w:val="true"/>
        </w:trPr>
        <w:tc>
          <w:tcPr>
            <w:tcW w:type="dxa" w:w="103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第 2 周</w:t>
            </w:r>
          </w:p>
        </w:tc>
        <w:tc>
          <w:tcPr>
            <w:tcW w:type="dxa" w:w="172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称重和外卖</w:t>
            </w:r>
          </w:p>
        </w:tc>
        <w:tc>
          <w:tcPr>
            <w:tcW w:type="dxa" w:w="453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导入 CoFID 子集；实现 FoodItem、ContainerProfile、菜谱批次、个人份量和外卖模板</w:t>
            </w:r>
          </w:p>
        </w:tc>
        <w:tc>
          <w:tcPr>
            <w:tcW w:type="dxa" w:w="2491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可记录真实家常菜和外卖；开始每天使用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第 3 周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今日页</w:t>
            </w:r>
          </w:p>
        </w:tc>
        <w:tc>
          <w:tcPr>
            <w:tcW w:type="dxa" w:w="45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实现目标差额、完整度、3 天和 7 天完整日平均、稳定期和剩菜复用</w:t>
            </w:r>
          </w:p>
        </w:tc>
        <w:tc>
          <w:tcPr>
            <w:tcW w:type="dxa" w:w="249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连续 5 天记录真实饮食；修正操作成本</w:t>
            </w:r>
          </w:p>
        </w:tc>
      </w:tr>
      <w:tr>
        <w:trPr>
          <w:cantSplit w:val="true"/>
        </w:trPr>
        <w:tc>
          <w:tcPr>
            <w:tcW w:type="dxa" w:w="103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第 4 周</w:t>
            </w:r>
          </w:p>
        </w:tc>
        <w:tc>
          <w:tcPr>
            <w:tcW w:type="dxa" w:w="172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标签扫描</w:t>
            </w:r>
          </w:p>
        </w:tc>
        <w:tc>
          <w:tcPr>
            <w:tcW w:type="dxa" w:w="453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接入条码、七字段 OCR、快速手工录入、单位换算、人工确认和 ReviewQueueItem</w:t>
            </w:r>
          </w:p>
        </w:tc>
        <w:tc>
          <w:tcPr>
            <w:tcW w:type="dxa" w:w="2491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完成 30 标签基线；无论准确率多少都能手工完成记录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第 5 周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购买判断</w:t>
            </w:r>
          </w:p>
        </w:tc>
        <w:tc>
          <w:tcPr>
            <w:tcW w:type="dxa" w:w="45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实现违规证据优先、补剂出口、清真扩展、品类评分、绝对结论和比较提示</w:t>
            </w:r>
          </w:p>
        </w:tc>
        <w:tc>
          <w:tcPr>
            <w:tcW w:type="dxa" w:w="249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无错误绿灯；候选不足不改变绝对结论</w:t>
            </w:r>
          </w:p>
        </w:tc>
      </w:tr>
      <w:tr>
        <w:trPr>
          <w:cantSplit w:val="true"/>
        </w:trPr>
        <w:tc>
          <w:tcPr>
            <w:tcW w:type="dxa" w:w="103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第 6 周</w:t>
            </w:r>
          </w:p>
        </w:tc>
        <w:tc>
          <w:tcPr>
            <w:tcW w:type="dxa" w:w="172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HealthKit 和交付</w:t>
            </w:r>
          </w:p>
        </w:tc>
        <w:tc>
          <w:tcPr>
            <w:tcW w:type="dxa" w:w="453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按实验结论实现读写与更新删除；完成隐私、缓存、导出和 50 件商品测试</w:t>
            </w:r>
          </w:p>
        </w:tc>
        <w:tc>
          <w:tcPr>
            <w:tcW w:type="dxa" w:w="2491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无重复数据；隐私测试通过；进入冻结版本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第 7 周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个人试用一</w:t>
            </w:r>
          </w:p>
        </w:tc>
        <w:tc>
          <w:tcPr>
            <w:tcW w:type="dxa" w:w="45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真实使用，不增加功能；记录缺失、耗时、错误判断和崩溃</w:t>
            </w:r>
          </w:p>
        </w:tc>
        <w:tc>
          <w:tcPr>
            <w:tcW w:type="dxa" w:w="249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至少 5 个完整日和 2 次扫描；只修阻断问题</w:t>
            </w:r>
          </w:p>
        </w:tc>
      </w:tr>
      <w:tr>
        <w:trPr>
          <w:cantSplit w:val="true"/>
        </w:trPr>
        <w:tc>
          <w:tcPr>
            <w:tcW w:type="dxa" w:w="103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第 8 周</w:t>
            </w:r>
          </w:p>
        </w:tc>
        <w:tc>
          <w:tcPr>
            <w:tcW w:type="dxa" w:w="172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个人试用二</w:t>
            </w:r>
          </w:p>
        </w:tc>
        <w:tc>
          <w:tcPr>
            <w:tcW w:type="dxa" w:w="453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重复同一验收标准；完成数据导出和恢复演练；整理产品 v0.2 清单</w:t>
            </w:r>
          </w:p>
        </w:tc>
        <w:tc>
          <w:tcPr>
            <w:tcW w:type="dxa" w:w="2491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再次达到 5 个完整日；形成是否继续使用的结论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5.1 每周交付纪律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第 1 周使用固定样例验证模型和规则；从第 2 周开始，每周末必须用真实做饭和外卖数据试用。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每周只交付一个可以从界面走通的纵向闭环，不只完成孤立的数据模型。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规则、单位换算和称重公式必须有单元测试；医疗规则还要记录依据和有效期。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第 7 至第 8 周冻结功能，只修复会阻断真实使用或造成错误判断的问题。</w:t>
      </w:r>
    </w:p>
    <w:p>
      <w:pPr>
        <w:pStyle w:val="Heading1"/>
        <w:keepNext/>
        <w:spacing w:before="240" w:after="100"/>
      </w:pPr>
      <w:r>
        <w:rPr>
          <w:rFonts w:ascii="Arial" w:hAnsi="Arial" w:eastAsia="Arial Unicode MS"/>
          <w:b/>
          <w:color w:val="000000"/>
          <w:sz w:val="30"/>
        </w:rPr>
        <w:t>6 验收和测试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151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测试域</w:t>
            </w:r>
          </w:p>
        </w:tc>
        <w:tc>
          <w:tcPr>
            <w:tcW w:type="dxa" w:w="432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测试集</w:t>
            </w:r>
          </w:p>
        </w:tc>
        <w:tc>
          <w:tcPr>
            <w:tcW w:type="dxa" w:w="396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通过条件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规则顺序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配料已出现 retinyl palmitate，但营养表缺失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先返回不符合约束，不被完整度覆盖</w:t>
            </w:r>
          </w:p>
        </w:tc>
      </w:tr>
      <w:tr>
        <w:trPr>
          <w:cantSplit w:val="true"/>
        </w:trPr>
        <w:tc>
          <w:tcPr>
            <w:tcW w:type="dxa" w:w="151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补剂</w:t>
            </w:r>
          </w:p>
        </w:tc>
        <w:tc>
          <w:tcPr>
            <w:tcW w:type="dxa" w:w="432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维生素 A 复合维生素、含维生素 A 鱼肝油、仅 β 胡萝卜素产品</w:t>
            </w:r>
          </w:p>
        </w:tc>
        <w:tc>
          <w:tcPr>
            <w:tcW w:type="dxa" w:w="396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前两类红灯；仅 β 胡萝卜素且未标维 A 时需咨询药师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营养分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每个品类至少 5 个固定样例和边界值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分项、权重、缺失纤维重分和 45、70 分边界可复算</w:t>
            </w:r>
          </w:p>
        </w:tc>
      </w:tr>
      <w:tr>
        <w:trPr>
          <w:cantSplit w:val="true"/>
        </w:trPr>
        <w:tc>
          <w:tcPr>
            <w:tcW w:type="dxa" w:w="151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品类例外</w:t>
            </w:r>
          </w:p>
        </w:tc>
        <w:tc>
          <w:tcPr>
            <w:tcW w:type="dxa" w:w="432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菜籽油、橄榄油、黄油、酱油和低盐酱油</w:t>
            </w:r>
          </w:p>
        </w:tc>
        <w:tc>
          <w:tcPr>
            <w:tcW w:type="dxa" w:w="396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油脂不因每 100g 高值误伤；酱料按实际份量区分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清真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肉类、鱼类海鲜、蛋、乳制品和含存疑词的混合加工品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分类和用户配置正确；存疑词不被自动判为不接受</w:t>
            </w:r>
          </w:p>
        </w:tc>
      </w:tr>
      <w:tr>
        <w:trPr>
          <w:cantSplit w:val="true"/>
        </w:trPr>
        <w:tc>
          <w:tcPr>
            <w:tcW w:type="dxa" w:w="151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OCR</w:t>
            </w:r>
          </w:p>
        </w:tc>
        <w:tc>
          <w:tcPr>
            <w:tcW w:type="dxa" w:w="432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英国四大超市和亚洲超市的 30 个标签</w:t>
            </w:r>
          </w:p>
        </w:tc>
        <w:tc>
          <w:tcPr>
            <w:tcW w:type="dxa" w:w="396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记录七字段准确率；低于 90% 时切换确认或手工优先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OCR 兜底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关闭 OCR 或全部识别错误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60 秒内手工完成七字段和必要配料状态，不阻塞判断</w:t>
            </w:r>
          </w:p>
        </w:tc>
      </w:tr>
      <w:tr>
        <w:trPr>
          <w:cantSplit w:val="true"/>
        </w:trPr>
        <w:tc>
          <w:tcPr>
            <w:tcW w:type="dxa" w:w="151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称重</w:t>
            </w:r>
          </w:p>
        </w:tc>
        <w:tc>
          <w:tcPr>
            <w:tcW w:type="dxa" w:w="432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容器皮重、一锅多餐、差值法、比例法、剩菜和复热失水</w:t>
            </w:r>
          </w:p>
        </w:tc>
        <w:tc>
          <w:tcPr>
            <w:tcW w:type="dxa" w:w="396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个人营养分配守恒；修改后历史正确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外卖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CoFID 模板、整盒重量、容器修正和个人餐厅修正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显示范围；来源和修正可追溯</w:t>
            </w:r>
          </w:p>
        </w:tc>
      </w:tr>
      <w:tr>
        <w:trPr>
          <w:cantSplit w:val="true"/>
        </w:trPr>
        <w:tc>
          <w:tcPr>
            <w:tcW w:type="dxa" w:w="151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滚动统计</w:t>
            </w:r>
          </w:p>
        </w:tc>
        <w:tc>
          <w:tcPr>
            <w:tcW w:type="dxa" w:w="432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完整日、部分完整日和缺失日混合</w:t>
            </w:r>
          </w:p>
        </w:tc>
        <w:tc>
          <w:tcPr>
            <w:tcW w:type="dxa" w:w="396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不把缺失日当零；样本不足时明确提示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HealthKit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保存、升版本、删除 correlation 和六类营养样本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每类样本数量正确；查询无残留或重复</w:t>
            </w:r>
          </w:p>
        </w:tc>
      </w:tr>
      <w:tr>
        <w:trPr>
          <w:cantSplit w:val="true"/>
        </w:trPr>
        <w:tc>
          <w:tcPr>
            <w:tcW w:type="dxa" w:w="151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隐私</w:t>
            </w:r>
          </w:p>
        </w:tc>
        <w:tc>
          <w:tcPr>
            <w:tcW w:type="dxa" w:w="432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相册照片包含 GPS、EXIF 和文件名</w:t>
            </w:r>
          </w:p>
        </w:tc>
        <w:tc>
          <w:tcPr>
            <w:tcW w:type="dxa" w:w="396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上传副本不含位置和无关元数据；日志不含 API Key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6.1 发布前阻断条件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任何已确认的硬约束存在错误绿灯。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未完成人工核对的商品显示值得买。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补剂在药师规则尚未确认时显示未发现冲突。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缺失日被当作零摄入并进入滚动平均。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同一餐编辑后在 HealthKit 出现重复记录。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第三方请求包含用药、LDL、清真设置、体重档案或照片位置元数据。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计算结果不能追溯到食材输入、重量、目标版本和数据库版本。</w:t>
      </w:r>
    </w:p>
    <w:p>
      <w:pPr>
        <w:pStyle w:val="Heading1"/>
        <w:keepNext/>
        <w:spacing w:before="240" w:after="100"/>
      </w:pPr>
      <w:r>
        <w:rPr>
          <w:rFonts w:ascii="Arial" w:hAnsi="Arial" w:eastAsia="Arial Unicode MS"/>
          <w:b/>
          <w:color w:val="000000"/>
          <w:sz w:val="30"/>
        </w:rPr>
        <w:t>7 风险和控制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266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89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6235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控制措施</w:t>
            </w:r>
          </w:p>
        </w:tc>
      </w:tr>
      <w:tr>
        <w:trPr>
          <w:cantSplit w:val="true"/>
        </w:trPr>
        <w:tc>
          <w:tcPr>
            <w:tcW w:type="dxa" w:w="26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高精度记录负担过大</w:t>
            </w:r>
          </w:p>
        </w:tc>
        <w:tc>
          <w:tcPr>
            <w:tcW w:type="dxa" w:w="8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高</w:t>
            </w:r>
          </w:p>
        </w:tc>
        <w:tc>
          <w:tcPr>
            <w:tcW w:type="dxa" w:w="62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菜谱复用、容器皮重和 3 次稳定期；用真实完成率决定是否继续</w:t>
            </w:r>
          </w:p>
        </w:tc>
      </w:tr>
      <w:tr>
        <w:trPr>
          <w:cantSplit w:val="true"/>
        </w:trPr>
        <w:tc>
          <w:tcPr>
            <w:tcW w:type="dxa" w:w="266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外卖估值偏差</w:t>
            </w:r>
          </w:p>
        </w:tc>
        <w:tc>
          <w:tcPr>
            <w:tcW w:type="dxa" w:w="8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高</w:t>
            </w:r>
          </w:p>
        </w:tc>
        <w:tc>
          <w:tcPr>
            <w:tcW w:type="dxa" w:w="6235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使用范围而非单点值；保存同店同菜修正；始终显示来源和置信度</w:t>
            </w:r>
          </w:p>
        </w:tc>
      </w:tr>
      <w:tr>
        <w:trPr>
          <w:cantSplit w:val="true"/>
        </w:trPr>
        <w:tc>
          <w:tcPr>
            <w:tcW w:type="dxa" w:w="26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众包商品数据错误</w:t>
            </w:r>
          </w:p>
        </w:tc>
        <w:tc>
          <w:tcPr>
            <w:tcW w:type="dxa" w:w="8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高</w:t>
            </w:r>
          </w:p>
        </w:tc>
        <w:tc>
          <w:tcPr>
            <w:tcW w:type="dxa" w:w="62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标签优先；保存来源和核对状态；未核对结果不显示绿灯</w:t>
            </w:r>
          </w:p>
        </w:tc>
      </w:tr>
      <w:tr>
        <w:trPr>
          <w:cantSplit w:val="true"/>
        </w:trPr>
        <w:tc>
          <w:tcPr>
            <w:tcW w:type="dxa" w:w="266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医疗规则误判</w:t>
            </w:r>
          </w:p>
        </w:tc>
        <w:tc>
          <w:tcPr>
            <w:tcW w:type="dxa" w:w="8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高</w:t>
            </w:r>
          </w:p>
        </w:tc>
        <w:tc>
          <w:tcPr>
            <w:tcW w:type="dxa" w:w="6235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含维生素 A 的补剂明确红灯；其他补剂默认需咨询药师；规则按疗程到期</w:t>
            </w:r>
          </w:p>
        </w:tc>
      </w:tr>
      <w:tr>
        <w:trPr>
          <w:cantSplit w:val="true"/>
        </w:trPr>
        <w:tc>
          <w:tcPr>
            <w:tcW w:type="dxa" w:w="26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品类评分误伤</w:t>
            </w:r>
          </w:p>
        </w:tc>
        <w:tc>
          <w:tcPr>
            <w:tcW w:type="dxa" w:w="8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高</w:t>
            </w:r>
          </w:p>
        </w:tc>
        <w:tc>
          <w:tcPr>
            <w:tcW w:type="dxa" w:w="62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油脂与酱料使用独立评分；每个品类设置固定回归样例</w:t>
            </w:r>
          </w:p>
        </w:tc>
      </w:tr>
      <w:tr>
        <w:trPr>
          <w:cantSplit w:val="true"/>
        </w:trPr>
        <w:tc>
          <w:tcPr>
            <w:tcW w:type="dxa" w:w="266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清真状态过度推断</w:t>
            </w:r>
          </w:p>
        </w:tc>
        <w:tc>
          <w:tcPr>
            <w:tcW w:type="dxa" w:w="8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高</w:t>
            </w:r>
          </w:p>
        </w:tc>
        <w:tc>
          <w:tcPr>
            <w:tcW w:type="dxa" w:w="6235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按品类和个人配置处理；存疑词不自动判不接受；不声称代替教法判断</w:t>
            </w:r>
          </w:p>
        </w:tc>
      </w:tr>
      <w:tr>
        <w:trPr>
          <w:cantSplit w:val="true"/>
        </w:trPr>
        <w:tc>
          <w:tcPr>
            <w:tcW w:type="dxa" w:w="26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比较库为空</w:t>
            </w:r>
          </w:p>
        </w:tc>
        <w:tc>
          <w:tcPr>
            <w:tcW w:type="dxa" w:w="8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中</w:t>
            </w:r>
          </w:p>
        </w:tc>
        <w:tc>
          <w:tcPr>
            <w:tcW w:type="dxa" w:w="62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绝对结论不依赖候选；无候选时只隐藏比较提示</w:t>
            </w:r>
          </w:p>
        </w:tc>
      </w:tr>
      <w:tr>
        <w:trPr>
          <w:cantSplit w:val="true"/>
        </w:trPr>
        <w:tc>
          <w:tcPr>
            <w:tcW w:type="dxa" w:w="266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OCR 未达到 90%</w:t>
            </w:r>
          </w:p>
        </w:tc>
        <w:tc>
          <w:tcPr>
            <w:tcW w:type="dxa" w:w="8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中</w:t>
            </w:r>
          </w:p>
        </w:tc>
        <w:tc>
          <w:tcPr>
            <w:tcW w:type="dxa" w:w="6235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保留逐字段确认和 60 秒手工录入；不阻塞后续开发</w:t>
            </w:r>
          </w:p>
        </w:tc>
      </w:tr>
      <w:tr>
        <w:trPr>
          <w:cantSplit w:val="true"/>
        </w:trPr>
        <w:tc>
          <w:tcPr>
            <w:tcW w:type="dxa" w:w="26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HealthKit 删除残留</w:t>
            </w:r>
          </w:p>
        </w:tc>
        <w:tc>
          <w:tcPr>
            <w:tcW w:type="dxa" w:w="8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高</w:t>
            </w:r>
          </w:p>
        </w:tc>
        <w:tc>
          <w:tcPr>
            <w:tcW w:type="dxa" w:w="62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第 1 周先做实验；每个营养样本单独同步和追踪；第 6 周按结果实现</w:t>
            </w:r>
          </w:p>
        </w:tc>
      </w:tr>
      <w:tr>
        <w:trPr>
          <w:cantSplit w:val="true"/>
        </w:trPr>
        <w:tc>
          <w:tcPr>
            <w:tcW w:type="dxa" w:w="266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Open Food Facts 限流</w:t>
            </w:r>
          </w:p>
        </w:tc>
        <w:tc>
          <w:tcPr>
            <w:tcW w:type="dxa" w:w="8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中</w:t>
            </w:r>
          </w:p>
        </w:tc>
        <w:tc>
          <w:tcPr>
            <w:tcW w:type="dxa" w:w="6235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自定义 User Agent、本地缓存、节流和失败回退到手工录入</w:t>
            </w:r>
          </w:p>
        </w:tc>
      </w:tr>
      <w:tr>
        <w:trPr>
          <w:cantSplit w:val="true"/>
        </w:trPr>
        <w:tc>
          <w:tcPr>
            <w:tcW w:type="dxa" w:w="26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免费签名失效</w:t>
            </w:r>
          </w:p>
        </w:tc>
        <w:tc>
          <w:tcPr>
            <w:tcW w:type="dxa" w:w="8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高</w:t>
            </w:r>
          </w:p>
        </w:tc>
        <w:tc>
          <w:tcPr>
            <w:tcW w:type="dxa" w:w="62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第 1 周确定 Apple Developer Program 账号；日常版本采用付费会员签名</w:t>
            </w:r>
          </w:p>
        </w:tc>
      </w:tr>
      <w:tr>
        <w:trPr>
          <w:cantSplit w:val="true"/>
        </w:trPr>
        <w:tc>
          <w:tcPr>
            <w:tcW w:type="dxa" w:w="266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本地数据丢失</w:t>
            </w:r>
          </w:p>
        </w:tc>
        <w:tc>
          <w:tcPr>
            <w:tcW w:type="dxa" w:w="8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中</w:t>
            </w:r>
          </w:p>
        </w:tc>
        <w:tc>
          <w:tcPr>
            <w:tcW w:type="dxa" w:w="6235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第 6 周实现全量 JSON 导出和恢复演练；CloudKit 留到后续决策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Arial" w:hAnsi="Arial" w:eastAsia="Arial Unicode MS"/>
          <w:b/>
          <w:color w:val="000000"/>
          <w:sz w:val="30"/>
        </w:rPr>
        <w:t>8 后续版本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10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23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6523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v0.2</w:t>
            </w:r>
          </w:p>
        </w:tc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建议和同步</w:t>
            </w:r>
          </w:p>
        </w:tc>
        <w:tc>
          <w:tcPr>
            <w:tcW w:type="dxa" w:w="65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下一餐建议、AI 外卖识别、体重趋势、连锁菜单热量、实验室指标时间线和 CloudKit</w:t>
            </w:r>
          </w:p>
        </w:tc>
      </w:tr>
      <w:tr>
        <w:trPr>
          <w:cantSplit w:val="true"/>
        </w:trPr>
        <w:tc>
          <w:tcPr>
            <w:tcW w:type="dxa" w:w="103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v0.3</w:t>
            </w:r>
          </w:p>
        </w:tc>
        <w:tc>
          <w:tcPr>
            <w:tcW w:type="dxa" w:w="223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训练联动</w:t>
            </w:r>
          </w:p>
        </w:tc>
        <w:tc>
          <w:tcPr>
            <w:tcW w:type="dxa" w:w="6523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动作模板、重量次数、RPE、AlarmKit 休息计时、Watch 训练重叠检查和训练日饮食调整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v0.4</w:t>
            </w:r>
          </w:p>
        </w:tc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效率和扩展</w:t>
            </w:r>
          </w:p>
        </w:tc>
        <w:tc>
          <w:tcPr>
            <w:tcW w:type="dxa" w:w="65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语音称重、App Intents、控制中心入口、更多地区标签和更成熟的替代推荐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Arial" w:hAnsi="Arial" w:eastAsia="Arial Unicode MS"/>
          <w:b/>
          <w:color w:val="000000"/>
          <w:sz w:val="30"/>
        </w:rPr>
        <w:t>9 第一周启动清单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创建原生 SwiftUI Xcode 项目，确定 Bundle Identifier，并启用 Git。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确认 Apple Developer Program 付费账号。免费 Personal Team 的设备安装签名 7 天到期，不适合每天使用。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建立 Core、Data、Features、Integrations、Resources 和 Tests 六个目录。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定义 GoalProfile、ConstraintRule、ScoreProfile、FoodItem、ContainerProfile、ReviewQueueItem、MealLog、HealthKitSyncRecord 和 Assessment 第一版模型。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启用 SwiftData VersionedSchema v1，并为未来 CloudKit 保留可迁移结构。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完成目标设置页面的静态原型，支持热量、蛋白质、饱和脂肪和纤维。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完成规则 JSON，写入判断优先级、来源 URL、版本、生效日期、失效日期和用户确认。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启用异维 A 酸疗程中的维生素 A 补剂规则；复合维生素和含维生素 A 的鱼肝油直接红灯，只标 β 胡萝卜素且未标维生素 A 时需咨询药师。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把营养分公式、分项锚点、七类品类权重、参考份量、英国交通灯和比较阈值写入版本化配置。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建立首批单元测试：明确冲突优先、维生素 A 补剂、评分边界、油脂和酱料例外、信息不足及清真品类。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完成 HealthKit 最小实验：保存、更新和删除一餐及六类营养样本，记录查询结果和权限边界。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完成七字段快速手工录入原型，确保 OCR 关闭时仍能生成正式判断。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导入 20 个常用中式食材、4 个 CoFID 外卖模板和 10 个英国包装商品作为种子数据。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9.1 启动前需要补齐的个人数据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年龄、身高、当前体重、目标体重和每周训练次数。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每日热量、蛋白质、饱和脂肪和纤维目标；如来自医生或营养师，应保存原文。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异维 A 酸疗程的开始日期、预计结束日期和药品说明书版本。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认可的清真认证机构、可接受的鱼类海鲜范围，以及对甲壳类、软体动物和存疑成分采用严格模式还是暂存模式。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最常做的 10 道菜、最常点的 10 份外卖和最常购买的 20 件商品。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是否存在任何食物过敏；如没有，v0.1 不启用过敏原检查。</w:t>
      </w:r>
    </w:p>
    <w:p>
      <w:pPr>
        <w:pStyle w:val="Heading1"/>
        <w:keepNext/>
        <w:spacing w:before="240" w:after="100"/>
      </w:pPr>
      <w:r>
        <w:rPr>
          <w:rFonts w:ascii="Arial" w:hAnsi="Arial" w:eastAsia="Arial Unicode MS"/>
          <w:b/>
          <w:color w:val="000000"/>
          <w:sz w:val="30"/>
        </w:rPr>
        <w:t>依据和技术参考</w:t>
      </w:r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1. </w:t>
      </w:r>
      <w:hyperlink r:id="rId10">
        <w:r>
          <w:rPr>
            <w:color w:val="17365D"/>
            <w:u w:val="single"/>
            <w:rFonts w:eastAsia="Arial Unicode MS" w:ascii="Arial" w:hAnsi="Arial"/>
          </w:rPr>
          <w:t>NHS 异维 A 酸说明</w:t>
        </w:r>
      </w:hyperlink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2. </w:t>
      </w:r>
      <w:hyperlink r:id="rId11">
        <w:r>
          <w:rPr>
            <w:color w:val="17365D"/>
            <w:u w:val="single"/>
            <w:rFonts w:eastAsia="Arial Unicode MS" w:ascii="Arial" w:hAnsi="Arial"/>
          </w:rPr>
          <w:t>英国异维 A 酸药品特性摘要</w:t>
        </w:r>
      </w:hyperlink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3. </w:t>
      </w:r>
      <w:hyperlink r:id="rId12">
        <w:r>
          <w:rPr>
            <w:color w:val="17365D"/>
            <w:u w:val="single"/>
            <w:rFonts w:eastAsia="Arial Unicode MS" w:ascii="Arial" w:hAnsi="Arial"/>
          </w:rPr>
          <w:t>英国 CoFID 数据集</w:t>
        </w:r>
      </w:hyperlink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4. </w:t>
      </w:r>
      <w:hyperlink r:id="rId13">
        <w:r>
          <w:rPr>
            <w:color w:val="17365D"/>
            <w:u w:val="single"/>
            <w:rFonts w:eastAsia="Arial Unicode MS" w:ascii="Arial" w:hAnsi="Arial"/>
          </w:rPr>
          <w:t>英国前包装营养标签指南</w:t>
        </w:r>
      </w:hyperlink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5. </w:t>
      </w:r>
      <w:hyperlink r:id="rId14">
        <w:r>
          <w:rPr>
            <w:color w:val="17365D"/>
            <w:u w:val="single"/>
            <w:rFonts w:eastAsia="Arial Unicode MS" w:ascii="Arial" w:hAnsi="Arial"/>
          </w:rPr>
          <w:t>英国营养和健康声称法规附件</w:t>
        </w:r>
      </w:hyperlink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6. </w:t>
      </w:r>
      <w:hyperlink r:id="rId15">
        <w:r>
          <w:rPr>
            <w:color w:val="17365D"/>
            <w:u w:val="single"/>
            <w:rFonts w:eastAsia="Arial Unicode MS" w:ascii="Arial" w:hAnsi="Arial"/>
          </w:rPr>
          <w:t>Open Food Facts API</w:t>
        </w:r>
      </w:hyperlink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7. </w:t>
      </w:r>
      <w:hyperlink r:id="rId16">
        <w:r>
          <w:rPr>
            <w:color w:val="17365D"/>
            <w:u w:val="single"/>
            <w:rFonts w:eastAsia="Arial Unicode MS" w:ascii="Arial" w:hAnsi="Arial"/>
          </w:rPr>
          <w:t>Apple 开发者账号说明</w:t>
        </w:r>
      </w:hyperlink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8. </w:t>
      </w:r>
      <w:hyperlink r:id="rId17">
        <w:r>
          <w:rPr>
            <w:color w:val="17365D"/>
            <w:u w:val="single"/>
            <w:rFonts w:eastAsia="Arial Unicode MS" w:ascii="Arial" w:hAnsi="Arial"/>
          </w:rPr>
          <w:t>Apple iOS 能力支持表</w:t>
        </w:r>
      </w:hyperlink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9. </w:t>
      </w:r>
      <w:hyperlink r:id="rId18">
        <w:r>
          <w:rPr>
            <w:color w:val="17365D"/>
            <w:u w:val="single"/>
            <w:rFonts w:eastAsia="Arial Unicode MS" w:ascii="Arial" w:hAnsi="Arial"/>
          </w:rPr>
          <w:t>Apple HealthKit 营养类型</w:t>
        </w:r>
      </w:hyperlink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10. </w:t>
      </w:r>
      <w:hyperlink r:id="rId19">
        <w:r>
          <w:rPr>
            <w:color w:val="17365D"/>
            <w:u w:val="single"/>
            <w:rFonts w:eastAsia="Arial Unicode MS" w:ascii="Arial" w:hAnsi="Arial"/>
          </w:rPr>
          <w:t>Apple HealthKit HKCorrelation</w:t>
        </w:r>
      </w:hyperlink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11. </w:t>
      </w:r>
      <w:hyperlink r:id="rId20">
        <w:r>
          <w:rPr>
            <w:color w:val="17365D"/>
            <w:u w:val="single"/>
            <w:rFonts w:eastAsia="Arial Unicode MS" w:ascii="Arial" w:hAnsi="Arial"/>
          </w:rPr>
          <w:t>Apple HealthKit Sync Identifier</w:t>
        </w:r>
      </w:hyperlink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12. </w:t>
      </w:r>
      <w:hyperlink r:id="rId21">
        <w:r>
          <w:rPr>
            <w:color w:val="17365D"/>
            <w:u w:val="single"/>
            <w:rFonts w:eastAsia="Arial Unicode MS" w:ascii="Arial" w:hAnsi="Arial"/>
          </w:rPr>
          <w:t>Apple Vision RecognizeDocumentsRequest</w:t>
        </w:r>
      </w:hyperlink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13. </w:t>
      </w:r>
      <w:hyperlink r:id="rId22">
        <w:r>
          <w:rPr>
            <w:color w:val="17365D"/>
            <w:u w:val="single"/>
            <w:rFonts w:eastAsia="Arial Unicode MS" w:ascii="Arial" w:hAnsi="Arial"/>
          </w:rPr>
          <w:t>USDA FoodData Central API</w:t>
        </w:r>
      </w:hyperlink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14. </w:t>
      </w:r>
      <w:hyperlink r:id="rId23">
        <w:r>
          <w:rPr>
            <w:color w:val="17365D"/>
            <w:u w:val="single"/>
            <w:rFonts w:eastAsia="Arial Unicode MS" w:ascii="Arial" w:hAnsi="Arial"/>
          </w:rPr>
          <w:t>Apple HealthKit 删除对象</w:t>
        </w:r>
      </w:hyperlink>
    </w:p>
    <w:p>
      <w:pPr>
        <w:keepNext w:val="0"/>
        <w:spacing w:before="160" w:after="0" w:line="300" w:lineRule="auto"/>
      </w:pPr>
      <w:r>
        <w:rPr>
          <w:rFonts w:ascii="Arial" w:hAnsi="Arial" w:eastAsia="Arial Unicode MS"/>
          <w:sz w:val="21"/>
        </w:rPr>
        <w:t>本计划中的医学边界用于限制软件行为，不替代医生或药师意见。任何新增红灯规则都必须具备明确来源、适用范围、版本、有效期和用户确认。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 Unicode MS"/>
        <w:b w:val="0"/>
        <w:color w:val="666666"/>
        <w:sz w:val="17"/>
      </w:rPr>
      <w:t xml:space="preserve">第 </w:t>
    </w:r>
    <w:fldSimple w:instr="PAGE">
      <w:r>
        <w:rPr>
          <w:rFonts w:ascii="Arial" w:hAnsi="Arial" w:eastAsia="Arial Unicode MS"/>
          <w:b w:val="0"/>
          <w:color w:val="666666"/>
          <w:sz w:val="17"/>
        </w:rPr>
        <w:t>88</w:t>
      </w:r>
    </w:fldSimple>
    <w:r>
      <w:rPr>
        <w:rFonts w:ascii="Arial" w:hAnsi="Arial" w:eastAsia="Arial Unicode MS"/>
        <w:b w:val="0"/>
        <w:color w:val="666666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 Unicode M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Subtitle">
    <w:name w:val="Document Subtitle"/>
    <w:rPr>
      <w:rFonts w:ascii="Arial Unicode MS" w:hAnsi="Arial Unicode MS" w:eastAsia="Arial Unicode MS"/>
      <w:color w:val="66666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nhs.uk/medicines/isotretinoin-roaccutane/" TargetMode="External"/><Relationship Id="rId11" Type="http://schemas.openxmlformats.org/officeDocument/2006/relationships/hyperlink" Target="https://www.medicines.org.uk/emc/product/100786/smpc" TargetMode="External"/><Relationship Id="rId12" Type="http://schemas.openxmlformats.org/officeDocument/2006/relationships/hyperlink" Target="https://www.gov.uk/government/publications/composition-of-foods-integrated-dataset-cofid" TargetMode="External"/><Relationship Id="rId13" Type="http://schemas.openxmlformats.org/officeDocument/2006/relationships/hyperlink" Target="https://www.gov.uk/government/publications/front-of-pack-nutrition-labelling-guidance" TargetMode="External"/><Relationship Id="rId14" Type="http://schemas.openxmlformats.org/officeDocument/2006/relationships/hyperlink" Target="https://www.legislation.gov.uk/eur/2006/1924/annexes/2020-12-31" TargetMode="External"/><Relationship Id="rId15" Type="http://schemas.openxmlformats.org/officeDocument/2006/relationships/hyperlink" Target="https://openfoodfacts.github.io/documentation/docs/Product-Opener/api/" TargetMode="External"/><Relationship Id="rId16" Type="http://schemas.openxmlformats.org/officeDocument/2006/relationships/hyperlink" Target="https://developer.apple.com/help/account/basics/about-your-developer-account" TargetMode="External"/><Relationship Id="rId17" Type="http://schemas.openxmlformats.org/officeDocument/2006/relationships/hyperlink" Target="https://developer.apple.com/help/account/reference/supported-capabilities-ios" TargetMode="External"/><Relationship Id="rId18" Type="http://schemas.openxmlformats.org/officeDocument/2006/relationships/hyperlink" Target="https://developer.apple.com/documentation/healthkit/nutrition-type-identifiers" TargetMode="External"/><Relationship Id="rId19" Type="http://schemas.openxmlformats.org/officeDocument/2006/relationships/hyperlink" Target="https://developer.apple.com/documentation/healthkit/hkcorrelation" TargetMode="External"/><Relationship Id="rId20" Type="http://schemas.openxmlformats.org/officeDocument/2006/relationships/hyperlink" Target="https://developer.apple.com/documentation/healthkit/hkmetadatakeysyncidentifier" TargetMode="External"/><Relationship Id="rId21" Type="http://schemas.openxmlformats.org/officeDocument/2006/relationships/hyperlink" Target="https://developer.apple.com/documentation/vision/recognizedocumentsrequest" TargetMode="External"/><Relationship Id="rId22" Type="http://schemas.openxmlformats.org/officeDocument/2006/relationships/hyperlink" Target="https://fdc.nal.usda.gov/api-guide/" TargetMode="External"/><Relationship Id="rId23" Type="http://schemas.openxmlformats.org/officeDocument/2006/relationships/hyperlink" Target="https://developer.apple.com/documentation/healthkit/hkhealthstore/delete(_:withcompletion:)-17hz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个人食品决策助手第一阶段项目落实计划书</dc:title>
  <dc:subject>计划书修订 3 产品目标 v0.1</dc:subject>
  <dc:creator/>
  <cp:keywords>iOS SwiftUI 食品标签 中餐称重 外卖估算 HealthKit 修订3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