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60" w:after="200"/>
        <w:jc w:val="left"/>
      </w:pPr>
      <w:r>
        <w:rPr>
          <w:rFonts w:ascii="Arial" w:hAnsi="Arial" w:eastAsia="Arial Unicode MS"/>
          <w:b/>
          <w:color w:val="000000"/>
          <w:sz w:val="50"/>
        </w:rPr>
        <w:t>个人食品决策助手第一阶段项目落实计划书</w:t>
      </w:r>
    </w:p>
    <w:p>
      <w:pPr>
        <w:pStyle w:val="DocumentSubtitle"/>
        <w:spacing w:after="360"/>
      </w:pPr>
      <w:r>
        <w:rPr>
          <w:rFonts w:ascii="Arial" w:hAnsi="Arial" w:eastAsia="Arial Unicode MS"/>
          <w:b w:val="0"/>
          <w:color w:val="666666"/>
          <w:sz w:val="24"/>
        </w:rPr>
        <w:t>计划书修订 4  产品目标 v0.1  原生 iOS 个人自用项目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80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项目概况</w:t>
            </w:r>
          </w:p>
        </w:tc>
        <w:tc>
          <w:tcPr>
            <w:tcW w:type="dxa" w:w="79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计划书修订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修订 4</w:t>
            </w:r>
          </w:p>
        </w:tc>
      </w:tr>
      <w:tr>
        <w:trPr>
          <w:cantSplit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修订日期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2026 年 10 月 2 日</w:t>
            </w:r>
          </w:p>
        </w:tc>
      </w:tr>
      <w:tr>
        <w:trPr>
          <w:cantSplit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产品目标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v0.1</w:t>
            </w:r>
          </w:p>
        </w:tc>
      </w:tr>
      <w:tr>
        <w:trPr>
          <w:cantSplit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目标设备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iPhone 16 Pro Max、iOS 26.6.2、Apple Watch</w:t>
            </w:r>
          </w:p>
        </w:tc>
      </w:tr>
      <w:tr>
        <w:trPr>
          <w:cantSplit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用户目标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健身小白阶段的减脂增肌，同时处理 LDL 约束、异维 A 酸疗程和清真饮食</w:t>
            </w:r>
          </w:p>
        </w:tc>
      </w:tr>
      <w:tr>
        <w:trPr>
          <w:cantSplit w:val="true"/>
        </w:trPr>
        <w:tc>
          <w:tcPr>
            <w:tcW w:type="dxa" w:w="1800"/>
            <w:shd w:fill="DCE6F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第一阶段周期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7 周开发，加 2 周个人试用</w:t>
            </w:r>
          </w:p>
        </w:tc>
      </w:tr>
    </w:tbl>
    <w:p/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项目结论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第一阶段调整为 7 周开发加 2 周试用，并把拍照估算餐纳入产品 v0.1。餐厅堂食、食堂和朋友家用餐无法稳定称重，如果这些天被排除在完整日之外，滚动平均会持续低估实际摄入。新增流程允许使用 1 至 2 张照片生成可修改的份量草稿，再由本地营养库计算低、中、高范围。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多模态模型只识别菜品组成、烹饪方式、模板映射和份量候选，不直接生成最终营养值。用户可用小中大份、碗数、盘面比例或多人分食比例修正，并单独调整照片看不见的油和酱汁。记录覆盖完整度与估算证据等级分开保存，已覆盖全部餐次的拍照估算日仍进入 3 天和 7 天平均。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修订项</w:t>
            </w:r>
          </w:p>
        </w:tc>
        <w:tc>
          <w:tcPr>
            <w:tcW w:type="dxa" w:w="784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修订 4 决定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补剂规则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任何标注维生素 A 的补剂，包括复合维生素和鱼肝油，在疗程内直接判不符合约束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营养评分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新增 0 至 100 分计算公式、分项锚点、品类权重和缺失字段处理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品类例外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油脂按饱和脂肪占总脂肪比例比较；酱料按实际或参考份量评分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冷启动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绝对分数决定值得买或可以考虑；候选库只控制是否显示有更好选择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OCR 字段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明确七个关键字段，纤维作为可选字段；保留快速手工录入兜底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清真规则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补充鱼类海鲜、蛋和混合加工食品，并建立存疑成分词典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HealthKit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第 1 周验证 correlation 更新删除；每个营养样本使用独立同步标识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数据模型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新增容器、待核对队列、评分配置和 HealthKit 同步记录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版本命名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计划书使用修订号，产品继续使用 v0.1、v0.2 等版本号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进度兜底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OCR 未达到 90% 时切换为确认优先或手工优先，不阻塞标签判断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拍照估算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产品 v0.1 支持无秤拍照估算、隐藏油酱修正、营养范围和称重对照校准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1 项目范围和成功标准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1.1 第一阶段用户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该版本只服务一个明确用户。用户在英国生活，主要吃中餐家常菜和外卖，愿意称重换取精度，正在进行减脂增肌，并需要把 LDL 偏高、异维 A 酸疗程和清真偏好带入购买与记录流程。用户尚未提出食物过敏，因此 v0.1 不启用过敏原规则；如果后续确认有过敏，再作为硬约束加入。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1.2 第一阶段必须完成的闭环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目标设置：保存每日热量目标、蛋白质下限、饱和脂肪上限和纤维下限，并记录来源、确认日期和有效期。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家常菜称重：记录食材重量、容器皮重、成品重量、个人食用重量、剩菜和复热后的修正。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外食估算：支持 CoFID 或个人模板、无秤份量和 1 至 2 张照片。AI 生成结构化候选，本地营养库按确认后的克数计算范围。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今日页：显示当前摄入范围、距离目标的差额、记录覆盖状态、估算证据等级以及 3 天和 7 天完整日平均。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超市扫描：条码优先，OCR 作为补充；允许未核对临时结论，并在确认后生成正式判断。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健康数据：读取步数、活动能量和训练；写入热量、蛋白质、碳水化合物、总脂肪、饱和脂肪和纤维。v0.1 不读取 HealthKit 体重。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1.3 可验证的成功标准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84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开发周期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前 7 周完成可安装版本；第 8 至第 9 周只修复阻断问题，不增加功能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个人试用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连续 2 周，每周至少有 5 个完整记录日，并完成至少 3 次拍照估算餐和 2 次超市扫描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称重记录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复用菜谱时 30 秒内完成一餐；首次建菜谱控制在 3 分钟内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外食记录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模板或拍照估算餐在 60 秒内完成；结果显示低中高范围、来源和证据等级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拍照质量目标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20 份拍照后称重的对照餐中，实际热量至少 80% 落入显示区间，中心值绝对百分比误差中位数不超过 30%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拍照兜底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AI 不可用、超时或结构化输出失败时，仍能用模板和无秤份量在 60 秒内完成记录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OCR 质量目标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30 个标签的七个关键字段在人工修正前达到 90%；未达到时自动采用确认或手工兜底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标签手工兜底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不依赖 OCR，也能在 60 秒内录完七个字段、配料状态和适用的清真信息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安全边界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已经确认的硬约束不得出现错误绿灯；未经核对的结果不得显示正式绿灯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数据一致性</w:t>
            </w:r>
          </w:p>
        </w:tc>
        <w:tc>
          <w:tcPr>
            <w:tcW w:type="dxa" w:w="784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同一餐新增、编辑或删除后，SwiftData 与 HealthKit 不出现重复记录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1.4 第一阶段不做的内容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训练动作库、渐进超负荷和独立 Apple Watch 训练界面。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自动下一餐建议、自动训练日热量调整、LiDAR 体积估算和连锁菜单抓取。基础拍照估算餐已经纳入 v0.1；LiDAR 只保留为后续实验。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社区、好友、公开商品评价和众包审核。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自动解释 LDL、甘油三酯、肝功能或肌肉症状。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在没有已声明过敏的情况下建立过敏原规则。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2 记录流程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2.1 目标设置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1. 输入年龄、身高、当前体重、目标体重和每周训练次数。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2. 手工输入或确认每日热量、蛋白质、碳水化合物、总脂肪、饱和脂肪和纤维目标。App 不擅自生成医疗阈值。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3. 为每个目标保存来源，例如用户决定、医生要求或营养师建议，并保存确认日期。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4. 目标变更时创建新版本，不覆盖历史记录。当天差额按当日生效的目标计算。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2.2 家常菜称重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1. 选择已有菜谱或新建菜谱，通过大号数字键盘录入食材克数。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2. 选择已保存的容器或锅具，系统自动扣除皮重。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3. 记录成品总重量。成品重量自然包含烹饪失水的影响。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4. 按个人食用重量、整盘前后差值或比例分配个人份量。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5. 如有大量汤汁或油留在盘中，可选择扣除剩余汤汁重量。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6. 保存剩余重量。下次食用时重新称量，并按剩余营养重新分配。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7. 同一菜谱完成 3 次后进入稳定期，保存平均成品率和常用份量，减少重复称重。</w:t>
      </w:r>
    </w:p>
    <w:p>
      <w:pPr>
        <w:keepNext w:val="0"/>
        <w:spacing w:before="60" w:after="160" w:line="300" w:lineRule="auto"/>
        <w:jc w:val="center"/>
      </w:pPr>
      <w:r>
        <w:rPr>
          <w:rFonts w:ascii="Arial" w:hAnsi="Arial" w:eastAsia="Arial"/>
          <w:b/>
          <w:color w:val="17365D"/>
          <w:sz w:val="22"/>
        </w:rPr>
        <w:t>个人摄入营养 = 全锅营养 × 个人食用重量 ÷ 成品总重量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2.3 外食和拍照估算餐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1. 选择模板录入或拍照估算。已有同店同菜记录时优先复用个人模板；没有模板时拍摄 1 张俯拍和可选的 1 张 45 度照片。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2. 上传前重新编码图片，移除 EXIF、GPS、IPTC 和原始文件名。图片中可放入碗、筷子或其他已知尺寸参照物，但不得把参照物当作精确尺度。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3. MealVisionProvider 返回结构化草稿，包括菜品分项、对应的 FoodItem 或 CoFID 模板、烹饪方式、低中高克数、置信度，以及可能存在的隐藏油和酱汁。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4. 用户用小中大份、碗数、盘面比例、份数或多人分食比例修正各分项，也可以直接输入估计克数。两人份吃一半作为结构化比例保存。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5. 隐藏油和酱汁独立显示。清蒸、炒、红烧和油炸使用不同的默认范围，用户可以选择少油、正常或多油，也可以直接修正克数。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6. 本地营养库按低中高克数分别计算营养。只有单一模板值且缺少更好依据时，拍照估算默认使用可配置的正负 40% 区间。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7. 保存照片的本地引用和哈希、模型原始结构化结果、提供方、模型版本、Schema 版本、人工修正、模板来源、营养范围和置信度。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8. 能够称重时，用户可以先拍照再称量。系统保存估计重量与实际重量的成对数据；同一品类累计至少 10 组后，才允许使用有上下限的个人校准系数。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9. AI 不可用、超时或结果无效时，直接切换为模板和无秤份量录入，不阻断当天记录。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2.4 今日页和记录完整度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51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55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定义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记录覆盖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完整</w:t>
            </w:r>
          </w:p>
        </w:tc>
        <w:tc>
          <w:tcPr>
            <w:tcW w:type="dxa" w:w="65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当天所有正餐、含热量饮料和零食均已记录；允许包含已经确认的拍照估算餐</w:t>
            </w:r>
          </w:p>
        </w:tc>
      </w:tr>
      <w:tr>
        <w:trPr>
          <w:cantSplit w:val="true"/>
        </w:trPr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记录覆盖</w:t>
            </w:r>
          </w:p>
        </w:tc>
        <w:tc>
          <w:tcPr>
            <w:tcW w:type="dxa" w:w="151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部分完整</w:t>
            </w:r>
          </w:p>
        </w:tc>
        <w:tc>
          <w:tcPr>
            <w:tcW w:type="dxa" w:w="655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已知有一部分食物、饮料或酱汁未记录，或用户明确标记仍有遗漏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记录覆盖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未完成</w:t>
            </w:r>
          </w:p>
        </w:tc>
        <w:tc>
          <w:tcPr>
            <w:tcW w:type="dxa" w:w="65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缺少一餐，或用户尚未完成当日确认</w:t>
            </w:r>
          </w:p>
        </w:tc>
      </w:tr>
      <w:tr>
        <w:trPr>
          <w:cantSplit w:val="true"/>
        </w:trPr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估算证据</w:t>
            </w:r>
          </w:p>
        </w:tc>
        <w:tc>
          <w:tcPr>
            <w:tcW w:type="dxa" w:w="151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655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称重、包装标签或餐厅公布数据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估算证据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B</w:t>
            </w:r>
          </w:p>
        </w:tc>
        <w:tc>
          <w:tcPr>
            <w:tcW w:type="dxa" w:w="65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已确认的个人模板、标准份量或同店同菜历史记录</w:t>
            </w:r>
          </w:p>
        </w:tc>
      </w:tr>
      <w:tr>
        <w:trPr>
          <w:cantSplit w:val="true"/>
        </w:trPr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估算证据</w:t>
            </w:r>
          </w:p>
        </w:tc>
        <w:tc>
          <w:tcPr>
            <w:tcW w:type="dxa" w:w="151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655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拍照估算并经过用户份量确认，结果保留范围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估算证据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D</w:t>
            </w:r>
          </w:p>
        </w:tc>
        <w:tc>
          <w:tcPr>
            <w:tcW w:type="dxa" w:w="65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AI 草稿或临时记录尚未确认，不生成正式日汇总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今日页显示热量、蛋白质、碳水化合物、总脂肪、饱和脂肪和纤维的低中高范围、目标值与差额。超过上限时显示超出量，不显示负数缺口。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3 天和 7 天视图同时显示日历窗口和覆盖完整日平均。只要当天全部餐次已经记录，拍照估算餐不会把该日降为部分完整；界面同时显示合计区间和各证据等级所占比例。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部分完整日和未完成日不进入完整日平均，也不按零摄入处理。3 天窗口少于 2 个完整日、7 天窗口少于 4 个完整日时显示样本不足。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步数、活动能量和 Apple Watch 训练只作背景信息，不直接增加可吃额度。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2.5 超市标签扫描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1. 扫描条码，并依次查询本地商品库和 Open Food Facts。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2. 未命中或数据不完整时，拍摄营养表、配料表、清真认证标志和可选价签。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3. Vision 在设备上识别七个关键营养字段：能量、脂肪、饱和脂肪、碳水化合物、糖、蛋白质和盐。解析器统一 kcal、kJ、每份、每 100g、每 100ml、盐和钠。纤维单独保存为可选字段。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4. 先搜索明确违规证据。发现已经核验的冲突时直接返回不符合约束，不因其他字段缺失而降为无法判断。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5. 没有明确冲突时检查当前品类需要的字段、配料和认证状态。七个关键字段缺失或尚未确认时返回待核对；英国标签未标纤维时不因此阻断正式结论。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6. 完成核对后按品类计算绝对营养分，先给出不建议、可以考虑或值得买，再在有真实同类候选时追加有更好选择提示。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7. OCR 达不到质量目标时，界面切换为逐字段确认或快速手工录入；该兜底流程必须能独立生成正式结论。</w:t>
      </w:r>
    </w:p>
    <w:p>
      <w:pPr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8. 保存原始图片、OCR 候选、人工修正、规则版本和最终结论，便于以后复查。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2.6 货架前的临时结论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37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41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触发条件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疑似不符合约束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OCR 发现维生素 A 补剂、未认证肉类或其他硬约束证据，但尚未人工确认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待核对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七个关键字段、配料、单位、品类或适用的认证状态尚未确认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正式结论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七个关键字段、配料和适用的认证状态已经确认；纤维缺失不阻断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临时结论可以提示风险，但不得显示值得买。用户回家后可以进入待核对列表，逐项确认或修正。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3 决策引擎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3.1 判断顺序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8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23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6667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明确违规证据</w:t>
            </w:r>
          </w:p>
        </w:tc>
        <w:tc>
          <w:tcPr>
            <w:tcW w:type="dxa" w:w="66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已核验的药物或用户硬约束命中后，直接返回不符合约束</w:t>
            </w:r>
          </w:p>
        </w:tc>
      </w:tr>
      <w:tr>
        <w:trPr>
          <w:cantSplit w:val="true"/>
        </w:trPr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数据完整度</w:t>
            </w:r>
          </w:p>
        </w:tc>
        <w:tc>
          <w:tcPr>
            <w:tcW w:type="dxa" w:w="6667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没有明确冲突时检查该产品类型的必需字段；不足时返回待核对</w:t>
            </w:r>
          </w:p>
        </w:tc>
      </w:tr>
      <w:tr>
        <w:trPr>
          <w:cantSplit w:val="true"/>
        </w:trPr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产品类型分流</w:t>
            </w:r>
          </w:p>
        </w:tc>
        <w:tc>
          <w:tcPr>
            <w:tcW w:type="dxa" w:w="66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补剂走独立出口；普通食品继续处理清真标记和营养评分</w:t>
            </w:r>
          </w:p>
        </w:tc>
      </w:tr>
      <w:tr>
        <w:trPr>
          <w:cantSplit w:val="true"/>
        </w:trPr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2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清真标记</w:t>
            </w:r>
          </w:p>
        </w:tc>
        <w:tc>
          <w:tcPr>
            <w:tcW w:type="dxa" w:w="6667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按品类规则生成独立状态，并按用户设置决定是否构成硬约束</w:t>
            </w:r>
          </w:p>
        </w:tc>
      </w:tr>
      <w:tr>
        <w:trPr>
          <w:cantSplit w:val="true"/>
        </w:trPr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绝对营养结论</w:t>
            </w:r>
          </w:p>
        </w:tc>
        <w:tc>
          <w:tcPr>
            <w:tcW w:type="dxa" w:w="66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使用版本化品类权重，生成不建议、可以考虑或值得买</w:t>
            </w:r>
          </w:p>
        </w:tc>
      </w:tr>
      <w:tr>
        <w:trPr>
          <w:cantSplit w:val="true"/>
        </w:trPr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2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同类比较提示</w:t>
            </w:r>
          </w:p>
        </w:tc>
        <w:tc>
          <w:tcPr>
            <w:tcW w:type="dxa" w:w="6667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存在真实候选并达到差值阈值时，追加有更好选择；不覆盖绝对结论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3.2 食品结论和优先级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655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输出层</w:t>
            </w:r>
          </w:p>
        </w:tc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1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条件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硬约束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不符合约束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命中已启用、已有来源且已核验的硬约束</w:t>
            </w:r>
          </w:p>
        </w:tc>
      </w:tr>
      <w:tr>
        <w:trPr>
          <w:cantSplit w:val="true"/>
        </w:trPr>
        <w:tc>
          <w:tcPr>
            <w:tcW w:type="dxa" w:w="165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完整度</w:t>
            </w:r>
          </w:p>
        </w:tc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待核对</w:t>
            </w:r>
          </w:p>
        </w:tc>
        <w:tc>
          <w:tcPr>
            <w:tcW w:type="dxa" w:w="61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缺少该品类的必需字段，或扫描结果尚未人工确认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绝对结论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不建议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营养分低于 45 分；或大份量品类同时触发两个交通灯高值</w:t>
            </w:r>
          </w:p>
        </w:tc>
      </w:tr>
      <w:tr>
        <w:trPr>
          <w:cantSplit w:val="true"/>
        </w:trPr>
        <w:tc>
          <w:tcPr>
            <w:tcW w:type="dxa" w:w="165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绝对结论</w:t>
            </w:r>
          </w:p>
        </w:tc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可以考虑</w:t>
            </w:r>
          </w:p>
        </w:tc>
        <w:tc>
          <w:tcPr>
            <w:tcW w:type="dxa" w:w="61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营养分为 45 至 69 分，且没有被高值规则覆盖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绝对结论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值得买</w:t>
            </w:r>
          </w:p>
        </w:tc>
        <w:tc>
          <w:tcPr>
            <w:tcW w:type="dxa" w:w="61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营养分至少 70 分，且没有被高值规则覆盖</w:t>
            </w:r>
          </w:p>
        </w:tc>
      </w:tr>
      <w:tr>
        <w:trPr>
          <w:cantSplit w:val="true"/>
        </w:trPr>
        <w:tc>
          <w:tcPr>
            <w:tcW w:type="dxa" w:w="165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比较提示</w:t>
            </w:r>
          </w:p>
        </w:tc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有更好选择</w:t>
            </w:r>
          </w:p>
        </w:tc>
        <w:tc>
          <w:tcPr>
            <w:tcW w:type="dxa" w:w="61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真实同类候选高出至少 15 分，并满足主要指标改善条件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候选库不参与绝对营养结论。冷启动时，70 分以上仍显示值得买，45 至 69 分仍显示可以考虑；只有比较条件成立时，结果卡才追加有更好选择。分数和阈值是个人工程基线，不是医疗阈值，完成 50 件真实商品测试后再校准。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3.3 补剂的独立出口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16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补剂结论</w:t>
            </w:r>
          </w:p>
        </w:tc>
        <w:tc>
          <w:tcPr>
            <w:tcW w:type="dxa" w:w="763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使用条件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不符合约束</w:t>
            </w:r>
          </w:p>
        </w:tc>
        <w:tc>
          <w:tcPr>
            <w:tcW w:type="dxa" w:w="76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异维 A 酸疗程有效，且标签确认该补剂提供维生素 A；包括复合维生素、鱼肝油以及标注 vitamin A、retinol、retinyl acetate、retinyl palmitate 或 vitamin A from beta-carotene 的产品</w:t>
            </w:r>
          </w:p>
        </w:tc>
      </w:tr>
      <w:tr>
        <w:trPr>
          <w:cantSplit w:val="true"/>
        </w:trPr>
        <w:tc>
          <w:tcPr>
            <w:tcW w:type="dxa" w:w="21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需咨询药师</w:t>
            </w:r>
          </w:p>
        </w:tc>
        <w:tc>
          <w:tcPr>
            <w:tcW w:type="dxa" w:w="76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产品只标 β 胡萝卜素且未标为维生素 A，维生素 A 形式或来源不明，标签不完整，或其他个人补剂规则尚未由药师确认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未发现冲突</w:t>
            </w:r>
          </w:p>
        </w:tc>
        <w:tc>
          <w:tcPr>
            <w:tcW w:type="dxa" w:w="76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药师已经确认规则范围，标签完整，且没有命中任何已启用冲突；此结论不表示医学安全保证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药师确认之前，未命中明确红灯的补剂默认显示需咨询药师，不能显示未发现冲突。NHS 将维生素 A 补剂和含维生素 A 的补剂都列为不应与异维 A 酸同用，因此复合维生素和鱼肝油不设低剂量例外。普通强化食品仍按食品逻辑处理；只标 β 胡萝卜素且未标为维生素 A 的补剂保留为需咨询药师。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蛋白粉和代餐奶昔同时生成两张结果卡。第一张按食品逻辑评估热量、蛋白质和饱和脂肪；第二张按补剂逻辑检查维生素和活性成分。任何补剂红灯都会覆盖营养评分。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3.4 清真状态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951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清真标记</w:t>
            </w:r>
          </w:p>
        </w:tc>
        <w:tc>
          <w:tcPr>
            <w:tcW w:type="dxa" w:w="684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产品目标 v0.1 定义</w:t>
            </w:r>
          </w:p>
        </w:tc>
      </w:tr>
      <w:tr>
        <w:trPr>
          <w:cantSplit w:val="true"/>
        </w:trPr>
        <w:tc>
          <w:tcPr>
            <w:tcW w:type="dxa" w:w="29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已认证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存在用户认可机构的有效认证</w:t>
            </w:r>
          </w:p>
        </w:tc>
      </w:tr>
      <w:tr>
        <w:trPr>
          <w:cantSplit w:val="true"/>
        </w:trPr>
        <w:tc>
          <w:tcPr>
            <w:tcW w:type="dxa" w:w="2951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成分未见冲突但无认证</w:t>
            </w:r>
          </w:p>
        </w:tc>
        <w:tc>
          <w:tcPr>
            <w:tcW w:type="dxa" w:w="684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植物性食品、乳制品、蛋，或在用户接受范围内的原形鱼类海鲜，完整配料未发现冲突</w:t>
            </w:r>
          </w:p>
        </w:tc>
      </w:tr>
      <w:tr>
        <w:trPr>
          <w:cantSplit w:val="true"/>
        </w:trPr>
        <w:tc>
          <w:tcPr>
            <w:tcW w:type="dxa" w:w="295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存疑</w:t>
            </w:r>
          </w:p>
        </w:tc>
        <w:tc>
          <w:tcPr>
            <w:tcW w:type="dxa" w:w="68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混合加工食品含来源不明的动物性、加工助剂或含酒精香精等成分，需要进一步证明</w:t>
            </w:r>
          </w:p>
        </w:tc>
      </w:tr>
      <w:tr>
        <w:trPr>
          <w:cantSplit w:val="true"/>
        </w:trPr>
        <w:tc>
          <w:tcPr>
            <w:tcW w:type="dxa" w:w="2951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不接受</w:t>
            </w:r>
          </w:p>
        </w:tc>
        <w:tc>
          <w:tcPr>
            <w:tcW w:type="dxa" w:w="684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肉类或含明胶商品没有用户认可的认证，或发现明确冲突成分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清真标记显示在食品结论旁边，不再把认证来源不明自动映射为无法判断。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肉类和含明胶商品必须有用户认可的认证。原形蛋默认按成分未见冲突处理；原形鱼类海鲜按用户配置的物种范围处理，甲壳类和软体动物不由 App 擅自裁决。加工鱼类、蛋制品、植物性食品和乳制品仍需检查完整配料。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混合加工食品如含肉、明胶或其衍生成分，必须满足相应认证规则；其他商品进入存疑词典检查。首批存疑词包括凝乳酶、乳清、L-半胱氨酸、胭脂虫红或 E120、虫胶或 E904，以及含酒精的香精。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遇到存疑成分时，由用户选择严格模式或允许暂存模式。该设置只表达个人接受标准，不代表 App 作教法裁决。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3.5 第一版参考线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1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第一版阈值</w:t>
            </w:r>
          </w:p>
        </w:tc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性质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固体食品高值</w:t>
            </w:r>
          </w:p>
        </w:tc>
        <w:tc>
          <w:tcPr>
            <w:tcW w:type="dxa" w:w="61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饱和脂肪大于 5g/100g；糖大于 22.5g/100g；盐大于 1.5g/100g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英国交通灯参考线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饮料高值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饱和脂肪大于 2.5g/100ml；糖大于 11.25g/100ml；盐大于 0.75g/100ml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英国交通灯参考线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纤维来源</w:t>
            </w:r>
          </w:p>
        </w:tc>
        <w:tc>
          <w:tcPr>
            <w:tcW w:type="dxa" w:w="61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至少 3g/100g 或 1.5g/100kcal；高纤维为至少 6g/100g 或 3g/100kcal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英国营养声称门槛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高蛋白声称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至少 20% 能量来自蛋白质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英国营养声称门槛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个人蛋白密度</w:t>
            </w:r>
          </w:p>
        </w:tc>
        <w:tc>
          <w:tcPr>
            <w:tcW w:type="dxa" w:w="61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至少 10g/100kcal 为强，6 至 10g 为中，低于 6g 为弱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个人工程基线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油脂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按饱和脂肪占总脂肪比例评分，只与相同用途油脂比较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品类工程基线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酱料调味品</w:t>
            </w:r>
          </w:p>
        </w:tc>
        <w:tc>
          <w:tcPr>
            <w:tcW w:type="dxa" w:w="61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按实际份量评分；未设置时使用 15g 参考份量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品类工程基线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更好选择</w:t>
            </w:r>
          </w:p>
        </w:tc>
        <w:tc>
          <w:tcPr>
            <w:tcW w:type="dxa" w:w="61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候选至少高 15 分，并改善主要指标至少 20%，且饱和脂肪或盐不得恶化超过 10%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比较提示基线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冷启动时使用绝对分数产生值得买、可以考虑或不建议。候选不足只隐藏有更好选择，不改变绝对结论。评分配置在第 1 周写入版本化 JSON，并为每项保存适用品类、来源、版本和生效日期。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3.6 营养分计算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每个适用分项先换算为 0 至 100 分，再按品类权重计算加权平均。最终分数 = round〔Σ 分项分数 × 权重 ÷ Σ 有效权重〕，并限制在 0 至 100。必需字段缺失时不计算；纤维等可选字段未标注时，将其权重按比例分配给该品类其余有效分项。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分项</w:t>
            </w:r>
          </w:p>
        </w:tc>
        <w:tc>
          <w:tcPr>
            <w:tcW w:type="dxa" w:w="266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0 分锚点</w:t>
            </w:r>
          </w:p>
        </w:tc>
        <w:tc>
          <w:tcPr>
            <w:tcW w:type="dxa" w:w="25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100 分锚点</w:t>
            </w:r>
          </w:p>
        </w:tc>
        <w:tc>
          <w:tcPr>
            <w:tcW w:type="dxa" w:w="266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蛋白质密度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不高于 2g/100kcal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至少 10g/100kcal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两端之间线性插值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纤维密度</w:t>
            </w:r>
          </w:p>
        </w:tc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0g/100kcal</w:t>
            </w:r>
          </w:p>
        </w:tc>
        <w:tc>
          <w:tcPr>
            <w:tcW w:type="dxa" w:w="25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至少 3g/100kcal</w:t>
            </w:r>
          </w:p>
        </w:tc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可选字段；缺失时重分权重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饱和脂肪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至少 20% 能量来自饱和脂肪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不高于 5%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一般食品按能量占比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糖</w:t>
            </w:r>
          </w:p>
        </w:tc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达到该固体或饮料高值线</w:t>
            </w:r>
          </w:p>
        </w:tc>
        <w:tc>
          <w:tcPr>
            <w:tcW w:type="dxa" w:w="25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按每 100g 或 100ml 线性插值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盐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达到该固体或饮料高值线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按每 100g 或 100ml 线性插值</w:t>
            </w:r>
          </w:p>
        </w:tc>
      </w:tr>
      <w:tr>
        <w:trPr>
          <w:cantSplit w:val="true"/>
        </w:trPr>
        <w:tc>
          <w:tcPr>
            <w:tcW w:type="dxa" w:w="194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能量密度</w:t>
            </w:r>
          </w:p>
        </w:tc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固体 500kcal/100g；饮料 100kcal/100ml</w:t>
            </w:r>
          </w:p>
        </w:tc>
        <w:tc>
          <w:tcPr>
            <w:tcW w:type="dxa" w:w="25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固体 100kcal/100g；饮料 0</w:t>
            </w:r>
          </w:p>
        </w:tc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两端之间线性插值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油脂饱和脂肪占比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至少占总脂肪 25%</w:t>
            </w:r>
          </w:p>
        </w:tc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不高于 10%</w:t>
            </w:r>
          </w:p>
        </w:tc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只用于油脂品类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30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购买品类</w:t>
            </w:r>
          </w:p>
        </w:tc>
        <w:tc>
          <w:tcPr>
            <w:tcW w:type="dxa" w:w="748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分项权重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蛋白质主菜</w:t>
            </w:r>
          </w:p>
        </w:tc>
        <w:tc>
          <w:tcPr>
            <w:tcW w:type="dxa" w:w="74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蛋白质 35；纤维 10；饱和脂肪 30；盐 15；能量 10</w:t>
            </w:r>
          </w:p>
        </w:tc>
      </w:tr>
      <w:tr>
        <w:trPr>
          <w:cantSplit w:val="true"/>
        </w:trPr>
        <w:tc>
          <w:tcPr>
            <w:tcW w:type="dxa" w:w="230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主食和谷物</w:t>
            </w:r>
          </w:p>
        </w:tc>
        <w:tc>
          <w:tcPr>
            <w:tcW w:type="dxa" w:w="748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蛋白质 15；纤维 30；饱和脂肪 20；糖 20；盐 15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混合餐食</w:t>
            </w:r>
          </w:p>
        </w:tc>
        <w:tc>
          <w:tcPr>
            <w:tcW w:type="dxa" w:w="74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蛋白质 25；纤维 20；饱和脂肪 25；盐 20；能量 10</w:t>
            </w:r>
          </w:p>
        </w:tc>
      </w:tr>
      <w:tr>
        <w:trPr>
          <w:cantSplit w:val="true"/>
        </w:trPr>
        <w:tc>
          <w:tcPr>
            <w:tcW w:type="dxa" w:w="230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零食和甜点</w:t>
            </w:r>
          </w:p>
        </w:tc>
        <w:tc>
          <w:tcPr>
            <w:tcW w:type="dxa" w:w="748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蛋白质 10；纤维 20；饱和脂肪 25；糖 30；能量 15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饮料</w:t>
            </w:r>
          </w:p>
        </w:tc>
        <w:tc>
          <w:tcPr>
            <w:tcW w:type="dxa" w:w="74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蛋白质 15；饱和脂肪 20；糖 45；能量 20</w:t>
            </w:r>
          </w:p>
        </w:tc>
      </w:tr>
      <w:tr>
        <w:trPr>
          <w:cantSplit w:val="true"/>
        </w:trPr>
        <w:tc>
          <w:tcPr>
            <w:tcW w:type="dxa" w:w="230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油脂</w:t>
            </w:r>
          </w:p>
        </w:tc>
        <w:tc>
          <w:tcPr>
            <w:tcW w:type="dxa" w:w="748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油脂饱和脂肪占比 100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酱料和调味品</w:t>
            </w:r>
          </w:p>
        </w:tc>
        <w:tc>
          <w:tcPr>
            <w:tcW w:type="dxa" w:w="74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每份盐 50；每份糖 25；每份饱和脂肪 15；每份能量 10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交通灯高值继续展示，但只有参考份量至少 100g 的固体食品或至少 150ml 的饮料同时出现两个高值时，才直接覆盖为不建议。油脂、酱料和调味品不使用每 100g 的双高值覆盖规则；它们分别按脂肪构成和实际份量评分。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3.7 医疗边界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普通食物天然含有维生素 A 时不自动禁食。NHS 说明异维 A 酸治疗期间通常可以正常饮食，但应避免维生素 A 补剂。疗程规则必须保存开始日期和结束日期；疗程结束后自动失效，并提示用户重新确认。实验室数据只用于记录和与医生沟通，不进入自动诊断。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4 数据和技术架构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4.1 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80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层</w:t>
            </w:r>
          </w:p>
        </w:tc>
        <w:tc>
          <w:tcPr>
            <w:tcW w:type="dxa" w:w="79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选择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界面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SwiftUI、Observation、Charts</w:t>
            </w:r>
          </w:p>
        </w:tc>
      </w:tr>
      <w:tr>
        <w:trPr>
          <w:cantSplit w:val="true"/>
        </w:trPr>
        <w:tc>
          <w:tcPr>
            <w:tcW w:type="dxa" w:w="180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业务数据</w:t>
            </w:r>
          </w:p>
        </w:tc>
        <w:tc>
          <w:tcPr>
            <w:tcW w:type="dxa" w:w="79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SwiftData、VersionedSchema、本地优先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扫描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Vision RecognizeDocumentsRequest、条码检测、PhotosUI</w:t>
            </w:r>
          </w:p>
        </w:tc>
      </w:tr>
      <w:tr>
        <w:trPr>
          <w:cantSplit w:val="true"/>
        </w:trPr>
        <w:tc>
          <w:tcPr>
            <w:tcW w:type="dxa" w:w="180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健康数据</w:t>
            </w:r>
          </w:p>
        </w:tc>
        <w:tc>
          <w:tcPr>
            <w:tcW w:type="dxa" w:w="79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HealthKit、统计查询、food correlation、同步标识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网络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URLSession、Open Food Facts、USDA FoodData Central</w:t>
            </w:r>
          </w:p>
        </w:tc>
      </w:tr>
      <w:tr>
        <w:trPr>
          <w:cantSplit w:val="true"/>
        </w:trPr>
        <w:tc>
          <w:tcPr>
            <w:tcW w:type="dxa" w:w="180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AI</w:t>
            </w:r>
          </w:p>
        </w:tc>
        <w:tc>
          <w:tcPr>
            <w:tcW w:type="dxa" w:w="79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MealVisionProvider 协议；v0.1 用于外食照片结构化识别，不直接计算营养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安全</w:t>
            </w:r>
          </w:p>
        </w:tc>
        <w:tc>
          <w:tcPr>
            <w:tcW w:type="dxa" w:w="79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Keychain 保存 API Key，图片重编码后再上传</w:t>
            </w:r>
          </w:p>
        </w:tc>
      </w:tr>
      <w:tr>
        <w:trPr>
          <w:cantSplit w:val="true"/>
        </w:trPr>
        <w:tc>
          <w:tcPr>
            <w:tcW w:type="dxa" w:w="180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导出</w:t>
            </w:r>
          </w:p>
        </w:tc>
        <w:tc>
          <w:tcPr>
            <w:tcW w:type="dxa" w:w="79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JSON 全量备份，CSV 饮食和商品记录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4.2 数据源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08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8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82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落地要求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CoFID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英国常见食材、成品菜和外卖模板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筛选后本地导入；保存数据版本和原始食物代码</w:t>
            </w:r>
          </w:p>
        </w:tc>
      </w:tr>
      <w:tr>
        <w:trPr>
          <w:cantSplit w:val="true"/>
        </w:trPr>
        <w:tc>
          <w:tcPr>
            <w:tcW w:type="dxa" w:w="208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USDA FoodData Central</w:t>
            </w:r>
          </w:p>
        </w:tc>
        <w:tc>
          <w:tcPr>
            <w:tcW w:type="dxa" w:w="288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通用食材和补充微量营养</w:t>
            </w:r>
          </w:p>
        </w:tc>
        <w:tc>
          <w:tcPr>
            <w:tcW w:type="dxa" w:w="482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远程搜索后保存快照；API Key 放入 Keychain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Open Food Facts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英国条码商品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条码查询优先；保存原始来源、响应时间和人工核对状态</w:t>
            </w:r>
          </w:p>
        </w:tc>
      </w:tr>
      <w:tr>
        <w:trPr>
          <w:cantSplit w:val="true"/>
        </w:trPr>
        <w:tc>
          <w:tcPr>
            <w:tcW w:type="dxa" w:w="208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个人食材和菜谱</w:t>
            </w:r>
          </w:p>
        </w:tc>
        <w:tc>
          <w:tcPr>
            <w:tcW w:type="dxa" w:w="288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中式食材、外卖和常做菜</w:t>
            </w:r>
          </w:p>
        </w:tc>
        <w:tc>
          <w:tcPr>
            <w:tcW w:type="dxa" w:w="482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最高优先级；允许纠错、版本化和复用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商品标签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具体品牌的配料和营养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产品特定判断时优先于外部数据库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sz w:val="21"/>
        </w:rPr>
        <w:t>已核对 CoFID 2021 数据集，其中包含 Chicken curry average takeaway、Chicken chow mein takeaway、Chicken biryani takeaway 和 Prawn curry takeaway 等条目，可用于外卖模板的首批种子数据。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4.3 网络和隐私要求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08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03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图片上传</w:t>
            </w:r>
          </w:p>
        </w:tc>
        <w:tc>
          <w:tcPr>
            <w:tcW w:type="dxa" w:w="77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使用 ImageIO 重新编码为新 JPEG 或 HEIC，只保留方向和必要像素；删除 EXIF、GPS、IPTC 和原始文件名</w:t>
            </w:r>
          </w:p>
        </w:tc>
      </w:tr>
      <w:tr>
        <w:trPr>
          <w:cantSplit w:val="true"/>
        </w:trPr>
        <w:tc>
          <w:tcPr>
            <w:tcW w:type="dxa" w:w="208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餐食照片</w:t>
            </w:r>
          </w:p>
        </w:tc>
        <w:tc>
          <w:tcPr>
            <w:tcW w:type="dxa" w:w="7703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默认保存本地缩略图和用户选择保留的复查图；上传临时副本在请求结束后删除，不修改系统相册原图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Open Food Facts</w:t>
            </w:r>
          </w:p>
        </w:tc>
        <w:tc>
          <w:tcPr>
            <w:tcW w:type="dxa" w:w="77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设置 AppName/Version ContactEmail 格式的自定义 User Agent；商品查询不超过每分钟 15 次，搜索不超过每分钟 10 次</w:t>
            </w:r>
          </w:p>
        </w:tc>
      </w:tr>
      <w:tr>
        <w:trPr>
          <w:cantSplit w:val="true"/>
        </w:trPr>
        <w:tc>
          <w:tcPr>
            <w:tcW w:type="dxa" w:w="208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缓存</w:t>
            </w:r>
          </w:p>
        </w:tc>
        <w:tc>
          <w:tcPr>
            <w:tcW w:type="dxa" w:w="7703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条码和模型结构化结果写入本地缓存；相同照片哈希不重复请求，用户可以删除缓存和已保存照片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第三方 AI</w:t>
            </w:r>
          </w:p>
        </w:tc>
        <w:tc>
          <w:tcPr>
            <w:tcW w:type="dxa" w:w="770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只上传完成当前餐食识别所需的重编码图片，不发送 LDL、用药、清真设置、体重或完整用户档案</w:t>
            </w:r>
          </w:p>
        </w:tc>
      </w:tr>
      <w:tr>
        <w:trPr>
          <w:cantSplit w:val="true"/>
        </w:trPr>
        <w:tc>
          <w:tcPr>
            <w:tcW w:type="dxa" w:w="208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日志</w:t>
            </w:r>
          </w:p>
        </w:tc>
        <w:tc>
          <w:tcPr>
            <w:tcW w:type="dxa" w:w="7703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7"/>
              </w:rPr>
              <w:t>不记录 API Key、原始医疗信息、完整照片路径、模型请求图片或照片位置元数据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4.4 重量和体积单位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FoodItem 保存 measurementBasis，取值为 per100g、per100ml 或 perServing。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牛奶和饮料优先直接记录毫升，不把克数静默当作毫升。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只有在产品或食材存在 DensityProfile 时才执行克与毫升换算，并保存密度来源和温度说明。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用户使用厨房秤称液体时，界面要求选择已知密度或改为量杯输入毫升。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4.5 HealthKit 范围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每餐使用 HKCorrelation 表示一个 food 对象，并写入 dietaryEnergyConsumed、dietaryProtein、dietaryCarbohydrates、dietaryFatTotal、dietaryFatSaturated 和 dietaryFiber。correlation 使用餐 ID 作为同步标识；每个营养样本使用“餐 ID + 营养素类型”作为独立同步标识，并共享递增版本。第 1 周先实测更新和删除：保存一餐、修改版本、删除 correlation 及其营养样本，再查询确认没有残留或重复。未通过实验前，不假设删除 correlation 会自动删除其中样本。步数和活动能量使用统计查询读取；v0.1 不读取体重。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4.6 核心数据模型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37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741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关键内容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GoalProfile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热量、蛋白质、碳水化合物、总脂肪、饱和脂肪和纤维目标；来源、生效日期和版本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ConstraintRule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规则类型、证据来源、版本、有效期、严重度和用户确认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ScoreProfile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购买品类、分项权重、锚点、参考份量、版本和生效日期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FoodItem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来源 ID、品类、measurementBasis、参考份量、营养、密度、版本和核对状态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ProductSnapshot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条码、标签原文、配料、营养、价格、店铺、日期和照片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ContainerProfile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容器名称、皮重、单位、最近使用时间和校准日期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ReviewQueueItem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待核对类型、缺失字段、OCR 或 AI 候选、优先级、状态和来源对象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RecipeBatch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食材、容器皮重、成品重、剩余重、成品率和稳定期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TakeawayTemplate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CoFID 或个人来源、每 100g 营养、范围和餐厅修正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MealPhotoEstimate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照片哈希和本地引用、菜品分项、烹饪方式、模板映射、低中高克数、隐藏油酱、置信度、模型和 Schema 版本、人工修正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PortionCalibration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品类、估计重量、实际重量、校准比例、样本数、启用状态和应用上下限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MealLog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餐次、营养中心值和范围、记录覆盖、证据等级、照片估值引用和 HealthKit 同步版本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HealthKitSyncRecord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餐 ID、对象类型、同步标识、版本、HealthKit UUID 和删除状态</w:t>
            </w:r>
          </w:p>
        </w:tc>
      </w:tr>
      <w:tr>
        <w:trPr>
          <w:cantSplit w:val="true"/>
        </w:trPr>
        <w:tc>
          <w:tcPr>
            <w:tcW w:type="dxa" w:w="237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DailySnapshot</w:t>
            </w:r>
          </w:p>
        </w:tc>
        <w:tc>
          <w:tcPr>
            <w:tcW w:type="dxa" w:w="741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目标版本、每日摄入范围、记录覆盖、证据分布、滚动统计和 HealthKit 活动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Assessment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绝对食品结论、比较提示、补剂结论、清真标记、分数和证据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5 九周实施计划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10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5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2491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完成定义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第 1 周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基础和规则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建立项目和 VersionedSchema；写补剂与评分规则；定义拍照估算 Schema；完成 HealthKit 更新删除实验</w:t>
            </w:r>
          </w:p>
        </w:tc>
        <w:tc>
          <w:tcPr>
            <w:tcW w:type="dxa" w:w="24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规则测试可运行；照片输出契约明确；确定付费账号</w:t>
            </w:r>
          </w:p>
        </w:tc>
      </w:tr>
      <w:tr>
        <w:trPr>
          <w:cantSplit w:val="true"/>
        </w:trPr>
        <w:tc>
          <w:tcPr>
            <w:tcW w:type="dxa" w:w="10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第 2 周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记录基础</w:t>
            </w:r>
          </w:p>
        </w:tc>
        <w:tc>
          <w:tcPr>
            <w:tcW w:type="dxa" w:w="45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实现 GoalProfile、FoodItem、容器、快速手工录入、菜谱批次和外食模板；导入 CoFID 子集</w:t>
            </w:r>
          </w:p>
        </w:tc>
        <w:tc>
          <w:tcPr>
            <w:tcW w:type="dxa" w:w="2491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可记录真实家常菜和模板餐；开始每天使用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第 3 周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今日页和无秤记录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实现目标差额、记录覆盖、证据等级、营养范围、3 天和 7 天平均、照片附件和无秤份量</w:t>
            </w:r>
          </w:p>
        </w:tc>
        <w:tc>
          <w:tcPr>
            <w:tcW w:type="dxa" w:w="24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连续 5 天记录；无法称重的餐也能完成</w:t>
            </w:r>
          </w:p>
        </w:tc>
      </w:tr>
      <w:tr>
        <w:trPr>
          <w:cantSplit w:val="true"/>
        </w:trPr>
        <w:tc>
          <w:tcPr>
            <w:tcW w:type="dxa" w:w="10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第 4 周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标签扫描</w:t>
            </w:r>
          </w:p>
        </w:tc>
        <w:tc>
          <w:tcPr>
            <w:tcW w:type="dxa" w:w="45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接入条码、七字段 OCR、快速手工录入、单位换算、人工确认和 ReviewQueueItem</w:t>
            </w:r>
          </w:p>
        </w:tc>
        <w:tc>
          <w:tcPr>
            <w:tcW w:type="dxa" w:w="2491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完成 30 标签基线；OCR 失败时仍能手工判断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第 5 周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购买判断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实现违规证据优先、补剂出口、清真扩展、品类评分、绝对结论和比较提示</w:t>
            </w:r>
          </w:p>
        </w:tc>
        <w:tc>
          <w:tcPr>
            <w:tcW w:type="dxa" w:w="24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无错误绿灯；候选不足不改变绝对结论</w:t>
            </w:r>
          </w:p>
        </w:tc>
      </w:tr>
      <w:tr>
        <w:trPr>
          <w:cantSplit w:val="true"/>
        </w:trPr>
        <w:tc>
          <w:tcPr>
            <w:tcW w:type="dxa" w:w="10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第 6 周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拍照估算</w:t>
            </w:r>
          </w:p>
        </w:tc>
        <w:tc>
          <w:tcPr>
            <w:tcW w:type="dxa" w:w="45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接入 MealVisionProvider；实现菜品分项、份量修正、隐藏油酱、营养范围、失败兜底和称重对照</w:t>
            </w:r>
          </w:p>
        </w:tc>
        <w:tc>
          <w:tcPr>
            <w:tcW w:type="dxa" w:w="2491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20 份对照餐完成；低质量结果扩大范围或降级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第 7 周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HealthKit 和交付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实现健康数据读写与更新删除、个人校准、隐私、缓存、导出、50 件商品测试和恢复演练</w:t>
            </w:r>
          </w:p>
        </w:tc>
        <w:tc>
          <w:tcPr>
            <w:tcW w:type="dxa" w:w="24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无重复数据；隐私测试通过；进入冻结版本</w:t>
            </w:r>
          </w:p>
        </w:tc>
      </w:tr>
      <w:tr>
        <w:trPr>
          <w:cantSplit w:val="true"/>
        </w:trPr>
        <w:tc>
          <w:tcPr>
            <w:tcW w:type="dxa" w:w="10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第 8 周</w:t>
            </w:r>
          </w:p>
        </w:tc>
        <w:tc>
          <w:tcPr>
            <w:tcW w:type="dxa" w:w="1728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个人试用一</w:t>
            </w:r>
          </w:p>
        </w:tc>
        <w:tc>
          <w:tcPr>
            <w:tcW w:type="dxa" w:w="45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真实使用，不增加功能；记录遗漏、耗时、估算区间、错误判断和崩溃</w:t>
            </w:r>
          </w:p>
        </w:tc>
        <w:tc>
          <w:tcPr>
            <w:tcW w:type="dxa" w:w="2491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至少 5 个完整日、3 次拍照估算和 2 次扫描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第 9 周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个人试用二</w:t>
            </w:r>
          </w:p>
        </w:tc>
        <w:tc>
          <w:tcPr>
            <w:tcW w:type="dxa" w:w="45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重复同一验收标准；完成数据导出和恢复演练；整理产品 v0.2 清单</w:t>
            </w:r>
          </w:p>
        </w:tc>
        <w:tc>
          <w:tcPr>
            <w:tcW w:type="dxa" w:w="249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再次达到 5 个完整日；形成是否继续使用的结论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5.1 每周交付纪律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第 1 周使用固定样例验证模型和规则；从第 2 周开始，每周末必须用真实做饭、外卖和无法称重的外食数据试用。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每周只交付一个可以从界面走通的纵向闭环，不只完成孤立的数据模型。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规则、单位换算和称重公式必须有单元测试；医疗规则还要记录依据和有效期。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第 8 至第 9 周冻结功能，只修复会阻断真实使用、造成错误判断或使记录范围失真的问题。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6 验收和测试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51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测试域</w:t>
            </w:r>
          </w:p>
        </w:tc>
        <w:tc>
          <w:tcPr>
            <w:tcW w:type="dxa" w:w="432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测试集</w:t>
            </w:r>
          </w:p>
        </w:tc>
        <w:tc>
          <w:tcPr>
            <w:tcW w:type="dxa" w:w="396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规则顺序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配料已出现 retinyl palmitate，但营养表缺失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先返回不符合约束，不被完整度覆盖</w:t>
            </w:r>
          </w:p>
        </w:tc>
      </w:tr>
      <w:tr>
        <w:trPr>
          <w:cantSplit w:val="true"/>
        </w:trPr>
        <w:tc>
          <w:tcPr>
            <w:tcW w:type="dxa" w:w="151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补剂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维生素 A 复合维生素、含维生素 A 鱼肝油、仅 β 胡萝卜素产品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前两类红灯；仅 β 胡萝卜素且未标维 A 时需咨询药师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营养分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每个品类至少 5 个固定样例和边界值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分项、权重、缺失纤维重分和 45、70 分边界可复算</w:t>
            </w:r>
          </w:p>
        </w:tc>
      </w:tr>
      <w:tr>
        <w:trPr>
          <w:cantSplit w:val="true"/>
        </w:trPr>
        <w:tc>
          <w:tcPr>
            <w:tcW w:type="dxa" w:w="151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品类例外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菜籽油、橄榄油、黄油、酱油和低盐酱油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油脂不因每 100g 高值误伤；酱料按实际份量区分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清真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肉类、鱼类海鲜、蛋、乳制品和含存疑词的混合加工品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分类和用户配置正确；存疑词不被自动判为不接受</w:t>
            </w:r>
          </w:p>
        </w:tc>
      </w:tr>
      <w:tr>
        <w:trPr>
          <w:cantSplit w:val="true"/>
        </w:trPr>
        <w:tc>
          <w:tcPr>
            <w:tcW w:type="dxa" w:w="151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OCR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英国四大超市和亚洲超市的 30 个标签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记录七字段准确率；低于 90% 时切换确认或手工优先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OCR 兜底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关闭 OCR 或全部识别错误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60 秒内手工完成七字段和必要配料状态，不阻塞判断</w:t>
            </w:r>
          </w:p>
        </w:tc>
      </w:tr>
      <w:tr>
        <w:trPr>
          <w:cantSplit w:val="true"/>
        </w:trPr>
        <w:tc>
          <w:tcPr>
            <w:tcW w:type="dxa" w:w="151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称重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容器皮重、一锅多餐、差值法、比例法、剩菜和复热失水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个人营养分配守恒；修改后历史正确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拍照结构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混合菜、多人分食、汤汁、看不见的油和酱汁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结构化结果可编辑；每项保留低中高克数和置信度</w:t>
            </w:r>
          </w:p>
        </w:tc>
      </w:tr>
      <w:tr>
        <w:trPr>
          <w:cantSplit w:val="true"/>
        </w:trPr>
        <w:tc>
          <w:tcPr>
            <w:tcW w:type="dxa" w:w="151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拍照精度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20 份先拍照后称重的真实餐食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实际热量至少 80% 落入范围；中心值误差中位数不超过 30%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拍照兜底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断网、超时、无效 JSON、低置信度和 API 配额不足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60 秒内切换模板或无秤录入；当天记录不丢失</w:t>
            </w:r>
          </w:p>
        </w:tc>
      </w:tr>
      <w:tr>
        <w:trPr>
          <w:cantSplit w:val="true"/>
        </w:trPr>
        <w:tc>
          <w:tcPr>
            <w:tcW w:type="dxa" w:w="151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个人校准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每个品类 10 组估计重量和实际重量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校准可复算、可关闭、限制在配置范围内且不改历史快照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滚动统计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称重日、模板日、拍照估算日、部分完整日和缺失日混合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覆盖完整的拍照日进入平均并显示区间；缺失日不按零处理</w:t>
            </w:r>
          </w:p>
        </w:tc>
      </w:tr>
      <w:tr>
        <w:trPr>
          <w:cantSplit w:val="true"/>
        </w:trPr>
        <w:tc>
          <w:tcPr>
            <w:tcW w:type="dxa" w:w="151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HealthKit</w:t>
            </w:r>
          </w:p>
        </w:tc>
        <w:tc>
          <w:tcPr>
            <w:tcW w:type="dxa" w:w="432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保存、升版本、删除 correlation 和六类营养样本</w:t>
            </w:r>
          </w:p>
        </w:tc>
        <w:tc>
          <w:tcPr>
            <w:tcW w:type="dxa" w:w="3960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每类样本数量正确；查询无残留或重复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隐私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相册照片包含 GPS、EXIF、文件名和可识别背景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5"/>
              </w:rPr>
              <w:t>上传副本不含位置和无关元数据；只发送任务所需裁剪；日志不含 API Key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6.1 发布前阻断条件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任何已确认的硬约束存在错误绿灯。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未完成人工核对的商品显示值得买。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补剂在药师规则尚未确认时显示未发现冲突。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缺失日被当作零摄入并进入滚动平均。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同一餐编辑后在 HealthKit 出现重复记录。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第三方请求包含用药、LDL、清真设置、体重档案或照片位置元数据。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计算结果不能追溯到食材输入、重量、目标版本和数据库版本。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7 风险和控制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66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8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6235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控制措施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高精度记录负担过大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高</w:t>
            </w:r>
          </w:p>
        </w:tc>
        <w:tc>
          <w:tcPr>
            <w:tcW w:type="dxa" w:w="62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菜谱复用、容器皮重和 3 次稳定期；用真实完成率决定是否继续</w:t>
            </w:r>
          </w:p>
        </w:tc>
      </w:tr>
      <w:tr>
        <w:trPr>
          <w:cantSplit w:val="true"/>
        </w:trPr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拍照份量误差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高</w:t>
            </w:r>
          </w:p>
        </w:tc>
        <w:tc>
          <w:tcPr>
            <w:tcW w:type="dxa" w:w="623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显示范围而非单点值；用户修正份量和隐藏油酱；用称重对照决定是否扩大区间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模型不可用或成本失控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高</w:t>
            </w:r>
          </w:p>
        </w:tc>
        <w:tc>
          <w:tcPr>
            <w:tcW w:type="dxa" w:w="62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相同照片哈希使用缓存；限制图片尺寸和重试；失败后立即回退模板或无秤录入</w:t>
            </w:r>
          </w:p>
        </w:tc>
      </w:tr>
      <w:tr>
        <w:trPr>
          <w:cantSplit w:val="true"/>
        </w:trPr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个人校准过拟合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中</w:t>
            </w:r>
          </w:p>
        </w:tc>
        <w:tc>
          <w:tcPr>
            <w:tcW w:type="dxa" w:w="623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每个品类至少 10 组才启用；使用中位数比例、应用上下限和关闭开关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外卖模板偏差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高</w:t>
            </w:r>
          </w:p>
        </w:tc>
        <w:tc>
          <w:tcPr>
            <w:tcW w:type="dxa" w:w="62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保存同店同菜修正；始终显示来源、证据等级和置信度</w:t>
            </w:r>
          </w:p>
        </w:tc>
      </w:tr>
      <w:tr>
        <w:trPr>
          <w:cantSplit w:val="true"/>
        </w:trPr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众包商品数据错误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高</w:t>
            </w:r>
          </w:p>
        </w:tc>
        <w:tc>
          <w:tcPr>
            <w:tcW w:type="dxa" w:w="623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标签优先；保存来源和核对状态；未核对结果不显示绿灯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医疗规则误判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高</w:t>
            </w:r>
          </w:p>
        </w:tc>
        <w:tc>
          <w:tcPr>
            <w:tcW w:type="dxa" w:w="62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含维生素 A 的补剂明确红灯；其他补剂默认需咨询药师；规则按疗程到期</w:t>
            </w:r>
          </w:p>
        </w:tc>
      </w:tr>
      <w:tr>
        <w:trPr>
          <w:cantSplit w:val="true"/>
        </w:trPr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品类评分误伤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高</w:t>
            </w:r>
          </w:p>
        </w:tc>
        <w:tc>
          <w:tcPr>
            <w:tcW w:type="dxa" w:w="623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油脂与酱料使用独立评分；每个品类设置固定回归样例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清真状态过度推断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高</w:t>
            </w:r>
          </w:p>
        </w:tc>
        <w:tc>
          <w:tcPr>
            <w:tcW w:type="dxa" w:w="62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按品类和个人配置处理；存疑词不自动判不接受；不声称代替教法判断</w:t>
            </w:r>
          </w:p>
        </w:tc>
      </w:tr>
      <w:tr>
        <w:trPr>
          <w:cantSplit w:val="true"/>
        </w:trPr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比较库为空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中</w:t>
            </w:r>
          </w:p>
        </w:tc>
        <w:tc>
          <w:tcPr>
            <w:tcW w:type="dxa" w:w="623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绝对结论不依赖候选；无候选时只隐藏比较提示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OCR 未达到 90%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中</w:t>
            </w:r>
          </w:p>
        </w:tc>
        <w:tc>
          <w:tcPr>
            <w:tcW w:type="dxa" w:w="62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保留逐字段确认和 60 秒手工录入；不阻塞后续开发</w:t>
            </w:r>
          </w:p>
        </w:tc>
      </w:tr>
      <w:tr>
        <w:trPr>
          <w:cantSplit w:val="true"/>
        </w:trPr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HealthKit 删除残留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高</w:t>
            </w:r>
          </w:p>
        </w:tc>
        <w:tc>
          <w:tcPr>
            <w:tcW w:type="dxa" w:w="623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第 1 周先做实验；每个营养样本单独同步和追踪；第 7 周按结果实现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Open Food Facts 限流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中</w:t>
            </w:r>
          </w:p>
        </w:tc>
        <w:tc>
          <w:tcPr>
            <w:tcW w:type="dxa" w:w="62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自定义 User Agent、本地缓存、节流和失败回退到手工录入</w:t>
            </w:r>
          </w:p>
        </w:tc>
      </w:tr>
      <w:tr>
        <w:trPr>
          <w:cantSplit w:val="true"/>
        </w:trPr>
        <w:tc>
          <w:tcPr>
            <w:tcW w:type="dxa" w:w="2664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免费签名失效</w:t>
            </w:r>
          </w:p>
        </w:tc>
        <w:tc>
          <w:tcPr>
            <w:tcW w:type="dxa" w:w="89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高</w:t>
            </w:r>
          </w:p>
        </w:tc>
        <w:tc>
          <w:tcPr>
            <w:tcW w:type="dxa" w:w="6235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第 1 周确定 Apple Developer Program 账号；日常版本采用付费会员签名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本地数据丢失</w:t>
            </w:r>
          </w:p>
        </w:tc>
        <w:tc>
          <w:tcPr>
            <w:tcW w:type="dxa" w:w="8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中</w:t>
            </w:r>
          </w:p>
        </w:tc>
        <w:tc>
          <w:tcPr>
            <w:tcW w:type="dxa" w:w="62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第 7 周实现全量 JSON 导出和恢复演练；CloudKit 留到后续决策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8 后续版本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0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23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6523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v0.2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建议和同步</w:t>
            </w:r>
          </w:p>
        </w:tc>
        <w:tc>
          <w:tcPr>
            <w:tcW w:type="dxa" w:w="6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下一餐建议、体重趋势、连锁菜单热量、LiDAR 体积实验、照片与菜单联合识别、实验室指标时间线和 CloudKit</w:t>
            </w:r>
          </w:p>
        </w:tc>
      </w:tr>
      <w:tr>
        <w:trPr>
          <w:cantSplit w:val="true"/>
        </w:trPr>
        <w:tc>
          <w:tcPr>
            <w:tcW w:type="dxa" w:w="1036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v0.3</w:t>
            </w:r>
          </w:p>
        </w:tc>
        <w:tc>
          <w:tcPr>
            <w:tcW w:type="dxa" w:w="2232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训练联动</w:t>
            </w:r>
          </w:p>
        </w:tc>
        <w:tc>
          <w:tcPr>
            <w:tcW w:type="dxa" w:w="6523"/>
            <w:shd w:fill="F3F7FB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动作模板、重量次数、RPE、AlarmKit 休息计时、Watch 训练重叠检查和训练日饮食调整</w:t>
            </w:r>
          </w:p>
        </w:tc>
      </w:tr>
      <w:tr>
        <w:trPr>
          <w:cantSplit w:val="true"/>
        </w:trPr>
        <w:tc>
          <w:tcPr>
            <w:tcW w:type="dxa" w:w="10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v0.4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效率和扩展</w:t>
            </w:r>
          </w:p>
        </w:tc>
        <w:tc>
          <w:tcPr>
            <w:tcW w:type="dxa" w:w="65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语音称重、App Intents、控制中心入口、更多地区标签和更成熟的替代推荐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9 第一周启动清单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创建原生 SwiftUI Xcode 项目，确定 Bundle Identifier，并启用 Git。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确认 Apple Developer Program 付费账号。免费 Personal Team 的设备安装签名 7 天到期，不适合每天使用。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建立 Core、Data、Features、Integrations、Resources 和 Tests 六个目录。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定义 GoalProfile、ConstraintRule、ScoreProfile、FoodItem、ContainerProfile、ReviewQueueItem、MealLog、HealthKitSyncRecord 和 Assessment 第一版模型。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启用 SwiftData VersionedSchema v1，并为未来 CloudKit 保留可迁移结构。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完成目标设置页面，支持保存并重新读取热量、蛋白质、碳水化合物、总脂肪、饱和脂肪和纤维。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完成规则 JSON，写入判断优先级、来源 URL、版本、生效日期、失效日期和用户确认。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启用异维 A 酸疗程中的维生素 A 补剂规则；复合维生素和含维生素 A 的鱼肝油直接红灯，只标 β 胡萝卜素且未标维生素 A 时需咨询药师。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把营养分公式、分项锚点、七类品类权重、参考份量、英国交通灯和比较阈值写入版本化配置。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建立首批单元测试：明确冲突优先、维生素 A 补剂、评分边界、油脂和酱料例外、信息不足及清真品类。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完成 HealthKit 最小实验：保存、更新和删除一餐及六类营养样本，记录查询结果和权限边界。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完成七字段快速手工录入原型，确保 OCR 关闭时仍能生成正式判断。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定义 MealPhotoEstimate、PortionCalibration 和 MealVisionProvider；固定结构化输出 Schema 和失败回退状态。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准备首批可称重对照的餐食照片，规定俯拍、45 度照片、隐藏油酱和多人分食的测试记录方式。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导入 20 个常用中式食材、4 个 CoFID 外卖模板和 10 个英国包装商品作为种子数据。</w:t>
      </w:r>
    </w:p>
    <w:p>
      <w:pPr>
        <w:pStyle w:val="Heading2"/>
        <w:keepNext/>
        <w:spacing w:before="160" w:after="100"/>
      </w:pPr>
      <w:r>
        <w:rPr>
          <w:rFonts w:ascii="Arial" w:hAnsi="Arial" w:eastAsia="Arial Unicode MS"/>
          <w:b/>
          <w:color w:val="000000"/>
          <w:sz w:val="24"/>
        </w:rPr>
        <w:t>9.1 启动前需要补齐的个人数据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年龄、身高、当前体重、目标体重和每周训练次数。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每日热量、蛋白质、饱和脂肪和纤维目标；如来自医生或营养师，应保存原文。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异维 A 酸疗程的开始日期、预计结束日期和药品说明书版本。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b w:val="0"/>
          <w:color w:val="000000"/>
          <w:sz w:val="21"/>
        </w:rPr>
        <w:t>认可的清真认证机构、可接受的鱼类海鲜范围，以及对甲壳类、软体动物和存疑成分采用严格模式还是暂存模式。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最常做的 10 道菜、最常点的 10 份外卖和最常购买的 20 件商品。</w:t>
      </w:r>
    </w:p>
    <w:p>
      <w:pPr>
        <w:pStyle w:val="ListBullet"/>
        <w:keepNext w:val="0"/>
        <w:spacing w:before="0" w:after="60" w:line="300" w:lineRule="auto"/>
      </w:pPr>
      <w:r>
        <w:rPr>
          <w:rFonts w:ascii="Arial" w:hAnsi="Arial" w:eastAsia="Arial Unicode MS"/>
          <w:sz w:val="21"/>
        </w:rPr>
        <w:t>是否存在任何食物过敏；如没有，v0.1 不启用过敏原检查。</w:t>
      </w:r>
    </w:p>
    <w:p>
      <w:pPr>
        <w:pStyle w:val="Heading1"/>
        <w:keepNext/>
        <w:spacing w:before="240" w:after="100"/>
      </w:pPr>
      <w:r>
        <w:rPr>
          <w:rFonts w:ascii="Arial" w:hAnsi="Arial" w:eastAsia="Arial Unicode MS"/>
          <w:b/>
          <w:color w:val="000000"/>
          <w:sz w:val="30"/>
        </w:rPr>
        <w:t>依据和技术参考</w:t>
      </w:r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1. </w:t>
      </w:r>
      <w:hyperlink r:id="rId10">
        <w:r>
          <w:rPr>
            <w:color w:val="17365D"/>
            <w:u w:val="single"/>
            <w:rFonts w:eastAsia="Arial Unicode MS" w:ascii="Arial" w:hAnsi="Arial"/>
          </w:rPr>
          <w:t>NHS 异维 A 酸说明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2. </w:t>
      </w:r>
      <w:hyperlink r:id="rId11">
        <w:r>
          <w:rPr>
            <w:color w:val="17365D"/>
            <w:u w:val="single"/>
            <w:rFonts w:eastAsia="Arial Unicode MS" w:ascii="Arial" w:hAnsi="Arial"/>
          </w:rPr>
          <w:t>英国异维 A 酸药品特性摘要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3. </w:t>
      </w:r>
      <w:hyperlink r:id="rId12">
        <w:r>
          <w:rPr>
            <w:color w:val="17365D"/>
            <w:u w:val="single"/>
            <w:rFonts w:eastAsia="Arial Unicode MS" w:ascii="Arial" w:hAnsi="Arial"/>
          </w:rPr>
          <w:t>英国 CoFID 数据集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4. </w:t>
      </w:r>
      <w:hyperlink r:id="rId13">
        <w:r>
          <w:rPr>
            <w:color w:val="17365D"/>
            <w:u w:val="single"/>
            <w:rFonts w:eastAsia="Arial Unicode MS" w:ascii="Arial" w:hAnsi="Arial"/>
          </w:rPr>
          <w:t>英国前包装营养标签指南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5. </w:t>
      </w:r>
      <w:hyperlink r:id="rId14">
        <w:r>
          <w:rPr>
            <w:color w:val="17365D"/>
            <w:u w:val="single"/>
            <w:rFonts w:eastAsia="Arial Unicode MS" w:ascii="Arial" w:hAnsi="Arial"/>
          </w:rPr>
          <w:t>英国营养和健康声称法规附件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6. </w:t>
      </w:r>
      <w:hyperlink r:id="rId15">
        <w:r>
          <w:rPr>
            <w:color w:val="17365D"/>
            <w:u w:val="single"/>
            <w:rFonts w:eastAsia="Arial Unicode MS" w:ascii="Arial" w:hAnsi="Arial"/>
          </w:rPr>
          <w:t>Open Food Facts API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7. </w:t>
      </w:r>
      <w:hyperlink r:id="rId16">
        <w:r>
          <w:rPr>
            <w:color w:val="17365D"/>
            <w:u w:val="single"/>
            <w:rFonts w:eastAsia="Arial Unicode MS" w:ascii="Arial" w:hAnsi="Arial"/>
          </w:rPr>
          <w:t>Apple 开发者账号说明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8. </w:t>
      </w:r>
      <w:hyperlink r:id="rId17">
        <w:r>
          <w:rPr>
            <w:color w:val="17365D"/>
            <w:u w:val="single"/>
            <w:rFonts w:eastAsia="Arial Unicode MS" w:ascii="Arial" w:hAnsi="Arial"/>
          </w:rPr>
          <w:t>Apple iOS 能力支持表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9. </w:t>
      </w:r>
      <w:hyperlink r:id="rId18">
        <w:r>
          <w:rPr>
            <w:color w:val="17365D"/>
            <w:u w:val="single"/>
            <w:rFonts w:eastAsia="Arial Unicode MS" w:ascii="Arial" w:hAnsi="Arial"/>
          </w:rPr>
          <w:t>Apple HealthKit 营养类型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10. </w:t>
      </w:r>
      <w:hyperlink r:id="rId19">
        <w:r>
          <w:rPr>
            <w:color w:val="17365D"/>
            <w:u w:val="single"/>
            <w:rFonts w:eastAsia="Arial Unicode MS" w:ascii="Arial" w:hAnsi="Arial"/>
          </w:rPr>
          <w:t>Apple HealthKit HKCorrelation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11. </w:t>
      </w:r>
      <w:hyperlink r:id="rId20">
        <w:r>
          <w:rPr>
            <w:color w:val="17365D"/>
            <w:u w:val="single"/>
            <w:rFonts w:eastAsia="Arial Unicode MS" w:ascii="Arial" w:hAnsi="Arial"/>
          </w:rPr>
          <w:t>Apple HealthKit Sync Identifier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12. </w:t>
      </w:r>
      <w:hyperlink r:id="rId21">
        <w:r>
          <w:rPr>
            <w:color w:val="17365D"/>
            <w:u w:val="single"/>
            <w:rFonts w:eastAsia="Arial Unicode MS" w:ascii="Arial" w:hAnsi="Arial"/>
          </w:rPr>
          <w:t>Apple Vision RecognizeDocumentsRequest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13. </w:t>
      </w:r>
      <w:hyperlink r:id="rId22">
        <w:r>
          <w:rPr>
            <w:color w:val="17365D"/>
            <w:u w:val="single"/>
            <w:rFonts w:eastAsia="Arial Unicode MS" w:ascii="Arial" w:hAnsi="Arial"/>
          </w:rPr>
          <w:t>USDA FoodData Central API</w:t>
        </w:r>
      </w:hyperlink>
    </w:p>
    <w:p>
      <w:pPr>
        <w:spacing w:after="80"/>
        <w:ind w:left="173"/>
      </w:pPr>
      <w:r>
        <w:rPr>
          <w:rFonts w:ascii="Arial" w:hAnsi="Arial" w:eastAsia="Arial Unicode MS"/>
          <w:sz w:val="19"/>
        </w:rPr>
        <w:t xml:space="preserve">14. </w:t>
      </w:r>
      <w:hyperlink r:id="rId23">
        <w:r>
          <w:rPr>
            <w:color w:val="17365D"/>
            <w:u w:val="single"/>
            <w:rFonts w:eastAsia="Arial Unicode MS" w:ascii="Arial" w:hAnsi="Arial"/>
          </w:rPr>
          <w:t>Apple HealthKit 删除对象</w:t>
        </w:r>
      </w:hyperlink>
    </w:p>
    <w:p>
      <w:pPr>
        <w:keepNext w:val="0"/>
        <w:spacing w:before="160" w:after="0" w:line="300" w:lineRule="auto"/>
      </w:pPr>
      <w:r>
        <w:rPr>
          <w:rFonts w:ascii="Arial" w:hAnsi="Arial" w:eastAsia="Arial Unicode MS"/>
          <w:sz w:val="21"/>
        </w:rPr>
        <w:t>本计划中的医学边界用于限制软件行为，不替代医生或药师意见。任何新增红灯规则都必须具备明确来源、适用范围、版本、有效期和用户确认。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 Unicode MS"/>
        <w:b w:val="0"/>
        <w:color w:val="666666"/>
        <w:sz w:val="17"/>
      </w:rPr>
      <w:t xml:space="preserve">第 </w:t>
    </w:r>
    <w:fldSimple w:instr="PAGE">
      <w:r>
        <w:rPr>
          <w:rFonts w:ascii="Arial" w:hAnsi="Arial" w:eastAsia="Arial Unicode MS"/>
          <w:b w:val="0"/>
          <w:color w:val="666666"/>
          <w:sz w:val="17"/>
        </w:rPr>
        <w:t>88</w:t>
      </w:r>
    </w:fldSimple>
    <w:r>
      <w:rPr>
        <w:rFonts w:ascii="Arial" w:hAnsi="Arial" w:eastAsia="Arial Unicode MS"/>
        <w:b w:val="0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 Unicode M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 Unicode MS" w:hAnsi="Arial Unicode MS" w:eastAsia="Arial Unicode MS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s.uk/medicines/isotretinoin-roaccutane/" TargetMode="External"/><Relationship Id="rId11" Type="http://schemas.openxmlformats.org/officeDocument/2006/relationships/hyperlink" Target="https://www.medicines.org.uk/emc/product/100786/smpc" TargetMode="External"/><Relationship Id="rId12" Type="http://schemas.openxmlformats.org/officeDocument/2006/relationships/hyperlink" Target="https://www.gov.uk/government/publications/composition-of-foods-integrated-dataset-cofid" TargetMode="External"/><Relationship Id="rId13" Type="http://schemas.openxmlformats.org/officeDocument/2006/relationships/hyperlink" Target="https://www.gov.uk/government/publications/front-of-pack-nutrition-labelling-guidance" TargetMode="External"/><Relationship Id="rId14" Type="http://schemas.openxmlformats.org/officeDocument/2006/relationships/hyperlink" Target="https://www.legislation.gov.uk/eur/2006/1924/annexes/2020-12-31" TargetMode="External"/><Relationship Id="rId15" Type="http://schemas.openxmlformats.org/officeDocument/2006/relationships/hyperlink" Target="https://openfoodfacts.github.io/documentation/docs/Product-Opener/api/" TargetMode="External"/><Relationship Id="rId16" Type="http://schemas.openxmlformats.org/officeDocument/2006/relationships/hyperlink" Target="https://developer.apple.com/help/account/basics/about-your-developer-account" TargetMode="External"/><Relationship Id="rId17" Type="http://schemas.openxmlformats.org/officeDocument/2006/relationships/hyperlink" Target="https://developer.apple.com/help/account/reference/supported-capabilities-ios" TargetMode="External"/><Relationship Id="rId18" Type="http://schemas.openxmlformats.org/officeDocument/2006/relationships/hyperlink" Target="https://developer.apple.com/documentation/healthkit/nutrition-type-identifiers" TargetMode="External"/><Relationship Id="rId19" Type="http://schemas.openxmlformats.org/officeDocument/2006/relationships/hyperlink" Target="https://developer.apple.com/documentation/healthkit/hkcorrelation" TargetMode="External"/><Relationship Id="rId20" Type="http://schemas.openxmlformats.org/officeDocument/2006/relationships/hyperlink" Target="https://developer.apple.com/documentation/healthkit/hkmetadatakeysyncidentifier" TargetMode="External"/><Relationship Id="rId21" Type="http://schemas.openxmlformats.org/officeDocument/2006/relationships/hyperlink" Target="https://developer.apple.com/documentation/vision/recognizedocumentsrequest" TargetMode="External"/><Relationship Id="rId22" Type="http://schemas.openxmlformats.org/officeDocument/2006/relationships/hyperlink" Target="https://fdc.nal.usda.gov/api-guide/" TargetMode="External"/><Relationship Id="rId23" Type="http://schemas.openxmlformats.org/officeDocument/2006/relationships/hyperlink" Target="https://developer.apple.com/documentation/healthkit/hkhealthstore/delete(_:withcompletion:)-17hz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个人食品决策助手第一阶段项目落实计划书</dc:title>
  <dc:subject>计划书修订 4 产品目标 v0.1</dc:subject>
  <dc:creator/>
  <cp:keywords>iOS SwiftUI 食品标签 中餐称重 拍照估算 外食 HealthKit 修订4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