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200"/>
        <w:jc w:val="left"/>
      </w:pPr>
      <w:r>
        <w:rPr>
          <w:rFonts w:ascii="Arial" w:hAnsi="Arial" w:eastAsia="Arial Unicode MS"/>
          <w:b/>
          <w:color w:val="000000"/>
          <w:sz w:val="50"/>
        </w:rPr>
        <w:t>个人食品决策助手第一阶段项目落实计划书</w:t>
      </w:r>
    </w:p>
    <w:p>
      <w:pPr>
        <w:pStyle w:val="DocumentSubtitle"/>
        <w:spacing w:after="360"/>
      </w:pPr>
      <w:r>
        <w:rPr>
          <w:rFonts w:ascii="Arial" w:hAnsi="Arial" w:eastAsia="Arial Unicode MS"/>
          <w:b w:val="0"/>
          <w:color w:val="666666"/>
          <w:sz w:val="24"/>
        </w:rPr>
        <w:t>版本 0.2  原生 iOS 个人自用项目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项目概况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修订日期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2026 年 9 月 26 日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目标设备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iPhone 16 Pro Max、iOS 26.6.2、Apple Watch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用户目标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健身小白阶段的减脂增肌，同时处理 LDL 约束、异维 A 酸疗程和清真饮食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第一阶段周期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6 周开发，加 2 周个人试用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项目结论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第一阶段先完成每天都会使用的记录闭环，再完成超市购买判断。第 2 周交付家常菜称重和手工外卖估算，第 3 周交付目标与今日页，从这时开始积累真实数据。第 4 至第 6 周完成标签扫描、约束判断、HealthKit 和导出。开发结束后单独安排 2 周试用，不再把试用压进第 6 周。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购买判断分成食品、补剂和清真三个维度。系统先查找明确的违规证据，再检查信息完整度；补剂使用独立结论，清真状态显示为独立标记。未完成人工核对的扫描结果只能显示临时结论，不得显示绿灯。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修订项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v0.2 决定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周期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改为 6 周开发加 2 周试用，成功标准放到第 7 至第 8 周验收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功能顺序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称重、外卖估算、目标和今日页提前到第 2 至第 3 周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判断顺序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明确违规证据优先，其次检查完整度，再处理补剂、清真、评分和替代项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补剂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新增独立三档出口，异维 A 酸疗程中的维生素 A 补剂规则从第 1 周启用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清真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独立标记，并按肉类、明胶、植物性食品和乳制品设置不同接受条件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冷启动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加入内置参考线、种子商品和数值化比较阈值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完整记录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增加目标设置、日完整度和滚动平均的缺失日规则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技术补充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加入 EXIF 清理、液体单位、Open Food Facts 限流、开发者账号和 HealthKit 写入范围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1 项目范围和成功标准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1.1 第一阶段用户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该版本只服务一个明确用户。用户在英国生活，主要吃中餐家常菜和外卖，愿意称重换取精度，正在进行减脂增肌，并需要把 LDL 偏高、异维 A 酸疗程和清真偏好带入购买与记录流程。用户尚未提出食物过敏，因此 v0.1 不启用过敏原规则；如果后续确认有过敏，再作为硬约束加入。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1.2 第一阶段必须完成的闭环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目标设置：保存每日热量目标、蛋白质下限、饱和脂肪上限和纤维下限，并记录来源、确认日期和有效期。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家常菜称重：记录食材重量、容器皮重、成品重量、个人食用重量、剩菜和复热后的修正。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外卖估算：选择 CoFID 或个人模板，按可食重量生成热量和营养范围，不依赖 AI。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今日页：显示当前摄入、距离目标的差额、日完整度以及 3 天和 7 天完整日平均。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超市扫描：条码优先，OCR 作为补充；允许未核对临时结论，并在确认后生成正式判断。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健康数据：读取步数、活动能量、训练和体重；写入热量、蛋白质、碳水化合物、总脂肪、饱和脂肪和纤维。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1.3 可验证的成功标准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开发周期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前 6 周完成可安装版本；第 7 至第 8 周只修复阻断问题，不增加功能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个人试用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连续 2 周，每周至少有 5 个完整记录日，并完成至少 2 次超市扫描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称重记录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复用菜谱时 30 秒内完成一餐；首次建菜谱控制在 3 分钟内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外卖记录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常用模板在 30 秒内完成；结果必须显示估值范围和数据来源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准确率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30 个真实标签中，7 个关键营养字段在人工修正前的字段级准确率至少为 90%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安全边界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已经确认的硬约束不得出现错误绿灯；未经核对的结果不得显示值得买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数据一致性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同一餐新增、编辑或删除后，SwiftData 与 HealthKit 不出现重复记录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1.4 第一阶段不做的内容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训练动作库、渐进超负荷和独立 Apple Watch 训练界面。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AI 外卖识别、自动下一餐建议和自动训练日热量调整。下一餐建议移到 v0.2。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社区、好友、公开商品评价和众包审核。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自动解释 LDL、甘油三酯、肝功能或肌肉症状。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在没有已声明过敏的情况下建立过敏原规则。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2 记录流程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2.1 目标设置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输入年龄、身高、当前体重、目标体重和每周训练次数。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手工输入或确认每日热量、蛋白质、饱和脂肪和纤维目标。App 不擅自生成医疗阈值。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为每个目标保存来源，例如用户决定、医生要求或营养师建议，并保存确认日期。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目标变更时创建新版本，不覆盖历史记录。当天差额按当日生效的目标计算。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2.2 家常菜称重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选择已有菜谱或新建菜谱，通过大号数字键盘录入食材克数。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选择已保存的容器或锅具，系统自动扣除皮重。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记录成品总重量。成品重量自然包含烹饪失水的影响。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按个人食用重量、整盘前后差值或比例分配个人份量。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5. 如有大量汤汁或油留在盘中，可选择扣除剩余汤汁重量。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6. 保存剩余重量。下次食用时重新称量，并按剩余营养重新分配。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7. 同一菜谱完成 3 次后进入稳定期，保存平均成品率和常用份量，减少重复称重。</w:t>
      </w:r>
    </w:p>
    <w:p>
      <w:pPr>
        <w:keepNext w:val="0"/>
        <w:spacing w:before="60" w:after="160" w:line="300" w:lineRule="auto"/>
        <w:jc w:val="center"/>
      </w:pPr>
      <w:r>
        <w:rPr>
          <w:rFonts w:ascii="Arial" w:hAnsi="Arial" w:eastAsia="Arial"/>
          <w:b/>
          <w:color w:val="17365D"/>
          <w:sz w:val="22"/>
        </w:rPr>
        <w:t>个人摄入营养 = 全锅营养 × 个人食用重量 ÷ 成品总重量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2.3 外卖估算餐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选择 CoFID 种子模板或个人常点外卖模板。首批模板包括鸡肉咖喱、鸡肉炒面、鸡肉抓饭和虾咖喱等。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称量可食部分，或输入包装标示的净重。容器重量未知时可先保存整盒重量，并标记需要修正。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按模板每 100g 营养计算中心值。来源有样本范围时使用原范围；只有单一值时，第一版使用可配置的正负 25% 不确定区间。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用户可按餐厅和菜名保存修正系数。再次点同一餐时优先复用上次确认结果。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5. 外卖日志必须保留模板来源、重量、估值上下限和置信度，不伪装成精确值。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2.4 今日页和记录完整度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完整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当天所有正餐、含热量饮料和零食均已记录；估算餐已确认重量或份量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部分完整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存在估算范围较宽、容器重量未知或用户明确标记的遗漏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未完成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缺少一餐或用户未完成当日确认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今日页显示热量、蛋白质、饱和脂肪和纤维的当前值、目标值与差额。超过上限时显示超出量，不显示负数缺口。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 天和 7 天视图同时显示日历窗口和完整日平均。未完成日不进入完整日平均，也不按零摄入处理。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 天窗口少于 2 个完整日、7 天窗口少于 4 个完整日时显示样本不足。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步数、活动能量和 Apple Watch 训练只作背景信息，不直接增加可吃额度。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2.5 超市标签扫描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扫描条码，并依次查询本地商品库和 Open Food Facts。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未命中或数据不完整时，拍摄营养表、配料表、清真认证标志和可选价签。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Vision 在设备上识别表格和文字。解析器统一 kcal、kJ、每份、每 100g、每 100ml、盐和钠。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先搜索明确违规证据。发现已经核验的冲突时直接返回不符合约束，不因其他字段缺失而降为无法判断。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5. 没有明确冲突时检查字段完整度。未完成核对的记录只输出待核对临时结论。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6. 完成核对后计算品类评分，并在有真实候选时判断是否存在更好选择。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7. 保存原始图片、OCR 候选、人工修正、规则版本和最终结论，便于以后复查。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2.6 货架前的临时结论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疑似不符合约束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发现维生素 A 补剂、未认证肉类或其他硬约束证据，但尚未人工确认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待核对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没有发现明确冲突，但营养表、配料表、单位或品类尚未确认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正式结论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7 个关键营养字段、配料和适用的认证状态已经确认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临时结论可以提示风险，但不得显示值得买。用户回家后可以进入待核对列表，逐项确认或修正。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3 决策引擎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3.1 判断顺序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6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明确违规证据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已核验的药物或用户硬约束命中后，直接返回不符合约束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数据完整度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没有明确冲突时，检查当前产品类型要求的字段；不足时返回待核对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产品类型分流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补剂走补剂出口；普通食品继续处理清真标记和营养评分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清真标记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按品类规则生成独立状态，并按用户的严格程度决定是否构成硬约束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营养评分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使用版本化参考线，只与相同购买目的的商品比较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替代判断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存在真实候选且达到差值阈值时，才显示有更好选择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3.2 食品结论和优先级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1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68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不符合约束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命中已启用、已有来源且已核验的硬约束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最高</w:t>
            </w:r>
          </w:p>
        </w:tc>
      </w:tr>
      <w:tr>
        <w:trPr>
          <w:cantSplit w:val="true"/>
        </w:trPr>
        <w:tc>
          <w:tcPr>
            <w:tcW w:type="dxa" w:w="201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待核对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缺少该品类的必需字段，或扫描结果尚未人工确认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不建议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营养分低于 45 分，或同时触发两个英国交通灯高值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201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有更好选择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本品不属于不建议，且真实同类候选高出至少 15 分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值得买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营养分至少 70 分、没有高值项，且没有达到差值阈值的更好候选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201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可以考虑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营养分为 45 至 69 分，或冷启动阶段没有足够候选可比</w:t>
            </w:r>
          </w:p>
        </w:tc>
        <w:tc>
          <w:tcPr>
            <w:tcW w:type="dxa" w:w="9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不建议优先于有更好选择。只有本品已经通过不建议判定后，系统才检查候选差值。分数和阈值是第一版工程基线，不是医疗阈值；完成 50 件真实商品测试后再调整。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3.3 补剂的独立出口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1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补剂结论</w:t>
            </w:r>
          </w:p>
        </w:tc>
        <w:tc>
          <w:tcPr>
            <w:tcW w:type="dxa" w:w="76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不符合约束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异维 A 酸疗程有效，且完整配料或 Supplement Facts 已确认含维生素 A、retinol、retinyl acetate 或 retinyl palmitate 等已启用成分</w:t>
            </w:r>
          </w:p>
        </w:tc>
      </w:tr>
      <w:tr>
        <w:trPr>
          <w:cantSplit w:val="true"/>
        </w:trPr>
        <w:tc>
          <w:tcPr>
            <w:tcW w:type="dxa" w:w="21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需咨询药师</w:t>
            </w:r>
          </w:p>
        </w:tc>
        <w:tc>
          <w:tcPr>
            <w:tcW w:type="dxa" w:w="76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药师尚未确认个人补剂规则，或产品含 β 胡萝卜素、低剂量复合维生素、鱼肝油、来源不明的维生素 A 形式或标签不完整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未发现冲突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药师已经确认规则范围，标签完整，且没有命中任何已启用冲突；此结论不表示医学安全保证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药师确认之前，补剂默认显示需咨询药师，不能显示未发现冲突。NHS 和英国药品说明书均明确要求异维 A 酸治疗期间避免维生素 A 补剂，因此这条规则从第 1 周启用，不等待药师确认。β 胡萝卜素、低剂量复合维生素和强化食品继续保留为需要确认的边缘情况。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蛋白粉和代餐奶昔同时生成两张结果卡。第一张按食品逻辑评估热量、蛋白质和饱和脂肪；第二张按补剂逻辑检查维生素和活性成分。任何补剂红灯都会覆盖营养评分。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3.4 清真状态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95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清真标记</w:t>
            </w:r>
          </w:p>
        </w:tc>
        <w:tc>
          <w:tcPr>
            <w:tcW w:type="dxa" w:w="68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v0.1 定义</w:t>
            </w:r>
          </w:p>
        </w:tc>
      </w:tr>
      <w:tr>
        <w:trPr>
          <w:cantSplit w:val="true"/>
        </w:trPr>
        <w:tc>
          <w:tcPr>
            <w:tcW w:type="dxa" w:w="29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已认证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存在用户认可机构的有效认证</w:t>
            </w:r>
          </w:p>
        </w:tc>
      </w:tr>
      <w:tr>
        <w:trPr>
          <w:cantSplit w:val="true"/>
        </w:trPr>
        <w:tc>
          <w:tcPr>
            <w:tcW w:type="dxa" w:w="295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成分未见冲突但无认证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植物性食品或乳制品的完整配料没有发现冲突</w:t>
            </w:r>
          </w:p>
        </w:tc>
      </w:tr>
      <w:tr>
        <w:trPr>
          <w:cantSplit w:val="true"/>
        </w:trPr>
        <w:tc>
          <w:tcPr>
            <w:tcW w:type="dxa" w:w="29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存疑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香精、乳化剂、加工助剂或来源不清的成分需要进一步证明</w:t>
            </w:r>
          </w:p>
        </w:tc>
      </w:tr>
      <w:tr>
        <w:trPr>
          <w:cantSplit w:val="true"/>
        </w:trPr>
        <w:tc>
          <w:tcPr>
            <w:tcW w:type="dxa" w:w="295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不接受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肉类或含明胶商品没有用户认可的认证，或发现明确冲突成分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清真标记显示在食品结论旁边，不再把认证来源不明自动映射为无法判断。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肉类和含明胶商品必须有用户认可的认证；植物性食品和乳制品在配料完整且未见冲突时可以接受。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遇到存疑成分时，由用户选择严格模式或允许暂存模式。此配置只表达个人接受标准，不代表 App 作教法裁决。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3.5 第一版参考线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第一版阈值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性质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固体食品高值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饱和脂肪大于 5g/100g；糖大于 22.5g/100g；盐大于 1.5g/100g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英国交通灯参考线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饮料高值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饱和脂肪大于 2.5g/100ml；糖大于 11.25g/100ml；盐大于 0.75g/100ml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英国交通灯参考线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纤维来源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3g/100g 或 1.5g/100kcal；高纤维为至少 6g/100g 或 3g/100kcal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英国营养声称门槛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高蛋白声称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20% 能量来自蛋白质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英国营养声称门槛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个人蛋白密度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10g/100kcal 为强，6 至 10g 为中，低于 6g 为弱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个人工程基线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更好选择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同品类候选至少高 15 分，并改善一项主要指标至少 20%，且饱和脂肪或盐不得恶化超过 10%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个人工程基线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冷启动时先使用上述参考线和种子商品。没有真实候选时不显示有更好选择，而是显示可以考虑。评分配置在第 1 周写入版本化 JSON，并为每项保存来源、版本和生效日期。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3.6 医疗边界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普通食物天然含有维生素 A 时不自动禁食。NHS 说明异维 A 酸治疗期间通常可以正常饮食，但应避免维生素 A 补剂。疗程规则必须保存开始日期和结束日期；疗程结束后自动失效，并提示用户重新确认。实验室数据只用于记录和与医生沟通，不进入自动诊断。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4 数据和技术架构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选择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界面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SwiftUI、Observation、Charts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业务数据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SwiftData、VersionedSchema、本地优先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扫描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Vision RecognizeDocumentsRequest、条码检测、PhotosUI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健康数据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HealthKit、统计查询、food correlation、同步标识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URLSession、Open Food Facts、USDA FoodData Central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FoodVisionProvider 协议，仅为困难图片和后续 AI 外卖识别预留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Keychain 保存 API Key，图片重编码后再上传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导出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JSON 全量备份，CSV 饮食和商品记录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4.2 数据源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8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CoFID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英国常见食材、成品菜和外卖模板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筛选后本地导入；保存数据版本和原始食物代码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USDA FoodData Central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通用食材和补充微量营养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远程搜索后保存快照；API Key 放入 Keychain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Open Food Facts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英国条码商品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条码查询优先；保存原始来源、响应时间和人工核对状态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个人食材和菜谱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中式食材、外卖和常做菜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最高优先级；允许纠错、版本化和复用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商品标签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具体品牌的配料和营养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产品特定判断时优先于外部数据库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已核对 CoFID 2021 数据集，其中包含 Chicken curry average takeaway、Chicken chow mein takeaway、Chicken biryani takeaway 和 Prawn curry takeaway 等条目，可用于外卖模板的首批种子数据。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4.3 网络和隐私要求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图片上传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使用 ImageIO 重新编码为新 JPEG 或 HEIC，只保留方向和必要像素；删除 EXIF、GPS、IPTC 和原始文件名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Open Food Facts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设置 AppName/Version ContactEmail 格式的自定义 User Agent；商品查询不超过每分钟 15 次，搜索不超过每分钟 10 次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缓存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条码结果和搜索结果写入本地缓存；命中缓存时不重复请求，30 天后提示刷新而不是强制刷新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第三方 AI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只上传完成当前识别任务所需的裁剪图片，不发送 LDL、用药、清真设置、体重或完整用户档案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日志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不记录 API Key、原始医疗信息、完整配料照片路径或照片位置元数据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4.4 重量和体积单位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FoodItem 保存 measurementBasis，取值为 per100g、per100ml 或 perServing。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牛奶和饮料优先直接记录毫升，不把克数静默当作毫升。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只有在产品或食材存在 DensityProfile 时才执行克与毫升换算，并保存密度来源和温度说明。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用户使用厨房秤称液体时，界面要求选择已知密度或改为量杯输入毫升。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4.5 HealthKit 范围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每餐使用 HKCorrelation 表示一个 food 对象，并写入 dietaryEnergyConsumed、dietaryProtein、dietaryCarbohydrates、dietaryFatTotal、dietaryFatSaturated 和 dietaryFiber。每个对象保存 SyncIdentifier 和 SyncVersion，以支持编辑和删除。步数与活动能量使用统计查询读取，不手工累加 iPhone 和 Apple Watch 来源。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4.6 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关键内容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GoalProfile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热量、蛋白质、饱和脂肪和纤维目标；来源、生效日期和版本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ConstraintRule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规则类型、证据来源、版本、有效期、严重度和用户确认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FoodItem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来源 ID、品类、measurementBasis、营养、密度、版本和核对状态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ProductSnapshot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条码、标签原文、配料、营养、价格、店铺、日期和照片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RecipeBatch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食材、容器皮重、成品重、剩余重、成品率和稳定期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TakeawayTemplate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CoFID 或个人来源、每 100g 营养、范围和餐厅修正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MealLog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餐次、重量、营养快照、估算范围、完整度和 HealthKit 同步版本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DailySnapshot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目标版本、每日摄入、完整度、滚动统计和 HealthKit 活动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食品结论、补剂结论、清真标记、命中规则、分数和证据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5 八周实施计划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0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49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1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基础和规则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建立 Xcode 项目、VersionedSchema、目标设置、规则 JSON、阈值表和开发者账号；启用维生素 A 补剂规则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可设置目标；规则测试可运行；确定付费开发者账号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2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称重和外卖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导入 CoFID 子集；实现 FoodItem、菜谱批次、容器皮重、成品重、个人份量和外卖模板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可记录真实家常菜和外卖；开始每天使用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3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今日页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实现目标差额、完整度、3 天和 7 天完整日平均、稳定期和剩菜复用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连续 5 天记录真实饮食；修正操作成本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4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标签扫描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接入条码、Vision OCR、7 个关键字段解析、单位换算、人工确认和待核对队列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30 个标签的字段级准确率至少 90%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5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购买判断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实现违规证据优先、补剂出口、清真标记、评分、种子候选和并排比较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无错误绿灯；冷启动时不虚构更好选择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6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HealthKit 和交付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实现读写、同步更新删除、EXIF 清理、Open Food Facts 缓存、JSON 和 CSV 导出；完成 50 件商品测试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无重复数据；隐私测试通过；进入冻结版本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7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个人试用一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真实使用，不增加功能；记录缺失、耗时、错误判断和崩溃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5 个完整日和 2 次扫描；只修阻断问题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8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个人试用二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重复同一验收标准；完成数据导出和恢复演练；整理 v0.2 清单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再次达到 5 个完整日；形成是否继续使用的结论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5.1 每周交付纪律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 1 周使用固定样例验证模型和规则；从第 2 周开始，每周末必须用真实做饭和外卖数据试用。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每周只交付一个可以从界面走通的纵向闭环，不只完成孤立的数据模型。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规则、单位换算和称重公式必须有单元测试；医疗规则还要记录依据和有效期。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 7 至第 8 周冻结功能，只修复会阻断真实使用或造成错误判断的问题。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6 验收和测试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测试域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测试集</w:t>
            </w:r>
          </w:p>
        </w:tc>
        <w:tc>
          <w:tcPr>
            <w:tcW w:type="dxa" w:w="39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规则顺序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配料已出现 retinyl palmitate，但营养表缺失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先返回不符合约束，不被完整度覆盖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补剂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维生素 A 补剂、β 胡萝卜素、蛋白粉和代餐奶昔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三档补剂出口正确；未获药师确认时不显示未发现冲突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清真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有认证肉类、无认证肉类、含明胶商品、植物性食品和乳制品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独立标记正确；认证不明不再统一变成无法判断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OCR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英国四大超市和亚洲超市的 30 个标签，包含反光和弯曲包装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7 个关键字段在人工修正前的字段级准确率至少 90%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称重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容器皮重、一锅多餐、差值法、比例法、剩菜和复热失水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个人营养分配守恒；修改后历史正确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外卖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CoFID 模板、整盒重量、容器修正和个人餐厅修正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显示范围；来源和修正可追溯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滚动统计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完整日、部分完整日和缺失日混合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不把缺失日当零；样本不足时明确提示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同一餐新增、编辑和删除；Watch 与 iPhone 同时有活动数据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营养样本无重复；活动数据不重复相加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隐私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相册照片包含 GPS、EXIF 和文件名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上传副本不含位置和无关元数据；日志不含 API Key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6.1 发布前阻断条件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任何已确认的硬约束存在错误绿灯。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未完成人工核对的商品显示值得买。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补剂在药师规则尚未确认时显示未发现冲突。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缺失日被当作零摄入并进入滚动平均。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同一餐编辑后在 HealthKit 出现重复记录。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第三方请求包含用药、LDL、清真设置、体重档案或照片位置元数据。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计算结果不能追溯到食材输入、重量、目标版本和数据库版本。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7 风险和控制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2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高精度记录负担过大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菜谱复用、容器皮重和 3 次稳定期；第 7 至第 8 周用真实完成率决定是否继续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外卖估值偏差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使用范围而非单点值；保存同店同菜修正；始终显示来源和置信度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众包商品数据错误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标签优先；保存来源和核对状态；未核对结果不显示绿灯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医疗规则误判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只启用有正式来源的规则；补剂默认需咨询药师；规则按疗程到期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清真状态过度推断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独立标记；按品类和个人接受标准处理；不声称代替教法判断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比较库为空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使用阈值和种子商品；无候选时显示可以考虑，不虚构替代项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Open Food Facts 限流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自定义 User Agent、本地缓存、节流和失败回退到手工录入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免费签名失效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1 周确定 Apple Developer Program 账号；日常使用版本采用付费会员签名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本地数据丢失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6 周实现全量 JSON 导出和恢复演练；CloudKit 留到后续决策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8 后续版本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0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523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v0.2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建议和同步</w:t>
            </w:r>
          </w:p>
        </w:tc>
        <w:tc>
          <w:tcPr>
            <w:tcW w:type="dxa" w:w="6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下一餐建议、AI 外卖识别、连锁菜单热量、实验室指标时间线和 CloudKit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v0.3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训练联动</w:t>
            </w:r>
          </w:p>
        </w:tc>
        <w:tc>
          <w:tcPr>
            <w:tcW w:type="dxa" w:w="6523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动作模板、重量次数、RPE、AlarmKit 休息计时、Watch 训练重叠检查和训练日饮食调整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v0.4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效率和扩展</w:t>
            </w:r>
          </w:p>
        </w:tc>
        <w:tc>
          <w:tcPr>
            <w:tcW w:type="dxa" w:w="6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语音称重、App Intents、控制中心入口、更多地区标签和更成熟的替代推荐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9 第一周启动清单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创建原生 SwiftUI Xcode 项目，确定 Bundle Identifier，并启用 Git。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确认 Apple Developer Program 付费账号。免费 Personal Team 的设备安装签名 7 天到期，不适合每天使用。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建立 Core、Data、Features、Integrations、Resources 和 Tests 六个目录。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定义 GoalProfile、ConstraintRule、FoodItem、ProductSnapshot、MealLog 和 Assessment 第一版模型。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启用 SwiftData VersionedSchema v1，并为未来 CloudKit 保留可迁移结构。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完成目标设置页面的静态原型，支持热量、蛋白质、饱和脂肪和纤维。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完成规则 JSON，写入判断优先级、来源 URL、版本、生效日期、失效日期和用户确认。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启用异维 A 酸疗程中的维生素 A 补剂规则，并为 β 胡萝卜素等边缘情况保留需咨询药师。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把英国交通灯、纤维声称、蛋白质声称和个人蛋白密度阈值写入版本化配置。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建立首批单元测试：明确冲突优先、信息不足、补剂默认状态和清真四态。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导入 20 个常用中式食材、4 个 CoFID 外卖模板和 10 个英国包装商品作为种子数据。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9.1 启动前需要补齐的个人数据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年龄、身高、当前体重、目标体重和每周训练次数。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每日热量、蛋白质、饱和脂肪和纤维目标；如来自医生或营养师，应保存原文。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异维 A 酸疗程的开始日期、预计结束日期和药品说明书版本。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认可的清真认证机构，以及对存疑成分采用严格模式还是暂存模式。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最常做的 10 道菜、最常点的 10 份外卖和最常购买的 20 件商品。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是否存在任何食物过敏；如没有，v0.1 不启用过敏原检查。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依据和技术参考</w:t>
      </w:r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1. </w:t>
      </w:r>
      <w:hyperlink r:id="rId10">
        <w:r>
          <w:rPr>
            <w:color w:val="17365D"/>
            <w:u w:val="single"/>
            <w:rFonts w:eastAsia="Arial Unicode MS" w:ascii="Arial" w:hAnsi="Arial"/>
          </w:rPr>
          <w:t>NHS 异维 A 酸说明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2. </w:t>
      </w:r>
      <w:hyperlink r:id="rId11">
        <w:r>
          <w:rPr>
            <w:color w:val="17365D"/>
            <w:u w:val="single"/>
            <w:rFonts w:eastAsia="Arial Unicode MS" w:ascii="Arial" w:hAnsi="Arial"/>
          </w:rPr>
          <w:t>英国异维 A 酸药品特性摘要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3. </w:t>
      </w:r>
      <w:hyperlink r:id="rId12">
        <w:r>
          <w:rPr>
            <w:color w:val="17365D"/>
            <w:u w:val="single"/>
            <w:rFonts w:eastAsia="Arial Unicode MS" w:ascii="Arial" w:hAnsi="Arial"/>
          </w:rPr>
          <w:t>英国 CoFID 数据集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4. </w:t>
      </w:r>
      <w:hyperlink r:id="rId13">
        <w:r>
          <w:rPr>
            <w:color w:val="17365D"/>
            <w:u w:val="single"/>
            <w:rFonts w:eastAsia="Arial Unicode MS" w:ascii="Arial" w:hAnsi="Arial"/>
          </w:rPr>
          <w:t>英国前包装营养标签指南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5. </w:t>
      </w:r>
      <w:hyperlink r:id="rId14">
        <w:r>
          <w:rPr>
            <w:color w:val="17365D"/>
            <w:u w:val="single"/>
            <w:rFonts w:eastAsia="Arial Unicode MS" w:ascii="Arial" w:hAnsi="Arial"/>
          </w:rPr>
          <w:t>英国营养和健康声称法规附件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6. </w:t>
      </w:r>
      <w:hyperlink r:id="rId15">
        <w:r>
          <w:rPr>
            <w:color w:val="17365D"/>
            <w:u w:val="single"/>
            <w:rFonts w:eastAsia="Arial Unicode MS" w:ascii="Arial" w:hAnsi="Arial"/>
          </w:rPr>
          <w:t>Open Food Facts API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7. </w:t>
      </w:r>
      <w:hyperlink r:id="rId16">
        <w:r>
          <w:rPr>
            <w:color w:val="17365D"/>
            <w:u w:val="single"/>
            <w:rFonts w:eastAsia="Arial Unicode MS" w:ascii="Arial" w:hAnsi="Arial"/>
          </w:rPr>
          <w:t>Apple 开发者账号说明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8. </w:t>
      </w:r>
      <w:hyperlink r:id="rId17">
        <w:r>
          <w:rPr>
            <w:color w:val="17365D"/>
            <w:u w:val="single"/>
            <w:rFonts w:eastAsia="Arial Unicode MS" w:ascii="Arial" w:hAnsi="Arial"/>
          </w:rPr>
          <w:t>Apple iOS 能力支持表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9. </w:t>
      </w:r>
      <w:hyperlink r:id="rId18">
        <w:r>
          <w:rPr>
            <w:color w:val="17365D"/>
            <w:u w:val="single"/>
            <w:rFonts w:eastAsia="Arial Unicode MS" w:ascii="Arial" w:hAnsi="Arial"/>
          </w:rPr>
          <w:t>Apple HealthKit 营养类型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10. </w:t>
      </w:r>
      <w:hyperlink r:id="rId19">
        <w:r>
          <w:rPr>
            <w:color w:val="17365D"/>
            <w:u w:val="single"/>
            <w:rFonts w:eastAsia="Arial Unicode MS" w:ascii="Arial" w:hAnsi="Arial"/>
          </w:rPr>
          <w:t>Apple HealthKit HKCorrelation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11. </w:t>
      </w:r>
      <w:hyperlink r:id="rId20">
        <w:r>
          <w:rPr>
            <w:color w:val="17365D"/>
            <w:u w:val="single"/>
            <w:rFonts w:eastAsia="Arial Unicode MS" w:ascii="Arial" w:hAnsi="Arial"/>
          </w:rPr>
          <w:t>Apple HealthKit Sync Identifier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12. </w:t>
      </w:r>
      <w:hyperlink r:id="rId21">
        <w:r>
          <w:rPr>
            <w:color w:val="17365D"/>
            <w:u w:val="single"/>
            <w:rFonts w:eastAsia="Arial Unicode MS" w:ascii="Arial" w:hAnsi="Arial"/>
          </w:rPr>
          <w:t>Apple Vision RecognizeDocumentsRequest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13. </w:t>
      </w:r>
      <w:hyperlink r:id="rId22">
        <w:r>
          <w:rPr>
            <w:color w:val="17365D"/>
            <w:u w:val="single"/>
            <w:rFonts w:eastAsia="Arial Unicode MS" w:ascii="Arial" w:hAnsi="Arial"/>
          </w:rPr>
          <w:t>USDA FoodData Central API</w:t>
        </w:r>
      </w:hyperlink>
    </w:p>
    <w:p>
      <w:pPr>
        <w:keepNext w:val="0"/>
        <w:spacing w:before="160" w:after="0" w:line="300" w:lineRule="auto"/>
      </w:pPr>
      <w:r>
        <w:rPr>
          <w:rFonts w:ascii="Arial" w:hAnsi="Arial" w:eastAsia="Arial Unicode MS"/>
          <w:sz w:val="21"/>
        </w:rPr>
        <w:t>本计划中的医学边界用于限制软件行为，不替代医生或药师意见。任何新增红灯规则都必须具备明确来源、适用范围、版本、有效期和用户确认。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666666"/>
        <w:sz w:val="17"/>
      </w:rPr>
      <w:t xml:space="preserve">第 </w:t>
    </w:r>
    <w:fldSimple w:instr="PAGE">
      <w:r>
        <w:rPr>
          <w:rFonts w:ascii="Arial" w:hAnsi="Arial" w:eastAsia="Arial Unicode MS"/>
          <w:b w:val="0"/>
          <w:color w:val="666666"/>
          <w:sz w:val="17"/>
        </w:rPr>
        <w:t>1</w:t>
      </w:r>
    </w:fldSimple>
    <w:r>
      <w:rPr>
        <w:rFonts w:ascii="Arial" w:hAnsi="Arial" w:eastAsia="Arial Unicode MS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 Unicode MS" w:hAnsi="Arial Unicode MS" w:eastAsia="Arial Unicode M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s.uk/medicines/isotretinoin-roaccutane/" TargetMode="External"/><Relationship Id="rId11" Type="http://schemas.openxmlformats.org/officeDocument/2006/relationships/hyperlink" Target="https://www.medicines.org.uk/emc/product/100786/smpc" TargetMode="External"/><Relationship Id="rId12" Type="http://schemas.openxmlformats.org/officeDocument/2006/relationships/hyperlink" Target="https://www.gov.uk/government/publications/composition-of-foods-integrated-dataset-cofid" TargetMode="External"/><Relationship Id="rId13" Type="http://schemas.openxmlformats.org/officeDocument/2006/relationships/hyperlink" Target="https://www.gov.uk/government/publications/front-of-pack-nutrition-labelling-guidance" TargetMode="External"/><Relationship Id="rId14" Type="http://schemas.openxmlformats.org/officeDocument/2006/relationships/hyperlink" Target="https://www.legislation.gov.uk/eur/2006/1924/annexes/2020-12-31" TargetMode="External"/><Relationship Id="rId15" Type="http://schemas.openxmlformats.org/officeDocument/2006/relationships/hyperlink" Target="https://openfoodfacts.github.io/documentation/docs/Product-Opener/api/" TargetMode="External"/><Relationship Id="rId16" Type="http://schemas.openxmlformats.org/officeDocument/2006/relationships/hyperlink" Target="https://developer.apple.com/help/account/basics/about-your-developer-account" TargetMode="External"/><Relationship Id="rId17" Type="http://schemas.openxmlformats.org/officeDocument/2006/relationships/hyperlink" Target="https://developer.apple.com/help/account/reference/supported-capabilities-ios" TargetMode="External"/><Relationship Id="rId18" Type="http://schemas.openxmlformats.org/officeDocument/2006/relationships/hyperlink" Target="https://developer.apple.com/documentation/healthkit/nutrition-type-identifiers" TargetMode="External"/><Relationship Id="rId19" Type="http://schemas.openxmlformats.org/officeDocument/2006/relationships/hyperlink" Target="https://developer.apple.com/documentation/healthkit/hkcorrelation" TargetMode="External"/><Relationship Id="rId20" Type="http://schemas.openxmlformats.org/officeDocument/2006/relationships/hyperlink" Target="https://developer.apple.com/documentation/healthkit/hkmetadatakeysyncidentifier" TargetMode="External"/><Relationship Id="rId21" Type="http://schemas.openxmlformats.org/officeDocument/2006/relationships/hyperlink" Target="https://developer.apple.com/documentation/vision/recognizedocumentsrequest" TargetMode="External"/><Relationship Id="rId22" Type="http://schemas.openxmlformats.org/officeDocument/2006/relationships/hyperlink" Target="https://fdc.nal.usda.gov/api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个人食品决策助手第一阶段项目落实计划书</dc:title>
  <dc:subject>原生 iOS 个人食品决策助手 v0.2 实施计划</dc:subject>
  <dc:creator/>
  <cp:keywords>iOS SwiftUI 食品标签 中餐称重 外卖估算 HealthKit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