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45" w:rsidRPr="008E301D" w:rsidRDefault="00DF7645">
      <w:pPr>
        <w:pStyle w:val="Heading1"/>
        <w:numPr>
          <w:ilvl w:val="0"/>
          <w:numId w:val="0"/>
        </w:numPr>
        <w:rPr>
          <w:rFonts w:ascii="Helvetica" w:hAnsi="Helvetica"/>
          <w:b w:val="0"/>
          <w:color w:val="000000"/>
        </w:rPr>
      </w:pPr>
      <w:r w:rsidRPr="008E301D">
        <w:rPr>
          <w:rFonts w:ascii="Helvetica" w:hAnsi="Helvetica"/>
          <w:b w:val="0"/>
          <w:color w:val="000000"/>
        </w:rPr>
        <w:t xml:space="preserve">Current </w:t>
      </w:r>
      <w:r w:rsidR="00CA7274" w:rsidRPr="008E301D">
        <w:rPr>
          <w:rFonts w:ascii="Helvetica" w:hAnsi="Helvetica"/>
          <w:b w:val="0"/>
          <w:color w:val="000000"/>
        </w:rPr>
        <w:t>and Pendi</w:t>
      </w:r>
      <w:r w:rsidR="00D1056D" w:rsidRPr="008E301D">
        <w:rPr>
          <w:rFonts w:ascii="Helvetica" w:hAnsi="Helvetica"/>
          <w:b w:val="0"/>
          <w:color w:val="000000"/>
        </w:rPr>
        <w:t>ng Support – John B. Bell</w:t>
      </w:r>
    </w:p>
    <w:p w:rsidR="00DF7645" w:rsidRDefault="00DF7645">
      <w:pPr>
        <w:rPr>
          <w:color w:val="000000"/>
        </w:rPr>
      </w:pPr>
    </w:p>
    <w:p w:rsidR="00DF7645" w:rsidRDefault="00DF7645">
      <w:pPr>
        <w:rPr>
          <w:color w:val="000000"/>
        </w:rPr>
      </w:pPr>
    </w:p>
    <w:p w:rsidR="00DF7645" w:rsidRDefault="00DF7645">
      <w:pPr>
        <w:rPr>
          <w:color w:val="000000"/>
        </w:rPr>
      </w:pPr>
      <w:r>
        <w:rPr>
          <w:color w:val="000000"/>
          <w:u w:val="single"/>
        </w:rPr>
        <w:t>Current Support</w:t>
      </w:r>
      <w:r>
        <w:rPr>
          <w:color w:val="000000"/>
        </w:rPr>
        <w:t>:</w:t>
      </w:r>
    </w:p>
    <w:p w:rsidR="00DF7645" w:rsidRDefault="00DF7645">
      <w:pPr>
        <w:ind w:left="360"/>
        <w:rPr>
          <w:color w:val="000000"/>
        </w:rPr>
      </w:pPr>
    </w:p>
    <w:p w:rsidR="00DF7645" w:rsidRDefault="00DF7645">
      <w:pPr>
        <w:ind w:left="36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  <w:t>Simulation and Analysis of Reacting Flows</w:t>
      </w:r>
    </w:p>
    <w:p w:rsidR="00DF7645" w:rsidRDefault="000840BE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25</w:t>
      </w:r>
      <w:r w:rsidR="00DF7645">
        <w:rPr>
          <w:color w:val="000000"/>
        </w:rPr>
        <w:t>%</w:t>
      </w:r>
    </w:p>
    <w:p w:rsidR="00DF7645" w:rsidRDefault="000E5B14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Octo</w:t>
      </w:r>
      <w:r w:rsidR="008A5996">
        <w:rPr>
          <w:color w:val="000000"/>
        </w:rPr>
        <w:t>ber 1, 2011 – September 30, 2014</w:t>
      </w:r>
    </w:p>
    <w:p w:rsidR="002E545D" w:rsidRDefault="0079541F" w:rsidP="002E545D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$800</w:t>
      </w:r>
      <w:r w:rsidR="00DF7645">
        <w:rPr>
          <w:color w:val="000000"/>
        </w:rPr>
        <w:t xml:space="preserve">K </w:t>
      </w:r>
    </w:p>
    <w:p w:rsidR="002E545D" w:rsidRDefault="002E545D" w:rsidP="002E545D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:rsidR="0083686E" w:rsidRDefault="0083686E">
      <w:pPr>
        <w:ind w:left="360"/>
        <w:rPr>
          <w:color w:val="000000"/>
        </w:rPr>
      </w:pPr>
    </w:p>
    <w:p w:rsidR="0083686E" w:rsidRDefault="0083686E" w:rsidP="0083686E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  <w:t>Stochastic Hybrid Models and Algorithms for Fluids</w:t>
      </w:r>
    </w:p>
    <w:p w:rsidR="0083686E" w:rsidRDefault="008A5996" w:rsidP="0083686E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2</w:t>
      </w:r>
      <w:r w:rsidR="000840BE">
        <w:rPr>
          <w:color w:val="000000"/>
        </w:rPr>
        <w:t>5</w:t>
      </w:r>
      <w:r w:rsidR="0083686E">
        <w:rPr>
          <w:color w:val="000000"/>
        </w:rPr>
        <w:t>%</w:t>
      </w:r>
    </w:p>
    <w:p w:rsidR="0083686E" w:rsidRDefault="0083686E" w:rsidP="0083686E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Octo</w:t>
      </w:r>
      <w:r w:rsidR="000840BE">
        <w:rPr>
          <w:color w:val="000000"/>
        </w:rPr>
        <w:t>ber 1, 2009 – September 30, 2012</w:t>
      </w:r>
    </w:p>
    <w:p w:rsidR="000840BE" w:rsidRDefault="000840BE" w:rsidP="0083686E">
      <w:pPr>
        <w:ind w:left="36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Renewed October 1, 2012 – September 30, 2015</w:t>
      </w:r>
    </w:p>
    <w:p w:rsidR="00D1056D" w:rsidRDefault="0083686E" w:rsidP="0083686E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$475K</w:t>
      </w:r>
    </w:p>
    <w:p w:rsidR="002E545D" w:rsidRDefault="002E545D" w:rsidP="002E545D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:rsidR="00CD3AF7" w:rsidRDefault="00CD3AF7" w:rsidP="00CD3AF7">
      <w:pPr>
        <w:ind w:left="360"/>
        <w:rPr>
          <w:color w:val="000000"/>
        </w:rPr>
      </w:pPr>
    </w:p>
    <w:p w:rsidR="008A5996" w:rsidRDefault="008A5996" w:rsidP="008A5996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  <w:t xml:space="preserve">Center for </w:t>
      </w:r>
      <w:proofErr w:type="spellStart"/>
      <w:r>
        <w:rPr>
          <w:color w:val="000000"/>
        </w:rPr>
        <w:t>Exascale</w:t>
      </w:r>
      <w:proofErr w:type="spellEnd"/>
      <w:r>
        <w:rPr>
          <w:color w:val="000000"/>
        </w:rPr>
        <w:t xml:space="preserve"> Simulation of Combustion in Turbulence</w:t>
      </w:r>
    </w:p>
    <w:p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>Percent Support:</w:t>
      </w:r>
      <w:r w:rsidR="000840BE">
        <w:rPr>
          <w:color w:val="000000"/>
        </w:rPr>
        <w:t xml:space="preserve"> </w:t>
      </w:r>
      <w:r w:rsidR="000840BE">
        <w:rPr>
          <w:color w:val="000000"/>
        </w:rPr>
        <w:tab/>
        <w:t>25</w:t>
      </w:r>
      <w:r>
        <w:rPr>
          <w:color w:val="000000"/>
        </w:rPr>
        <w:t>%</w:t>
      </w:r>
    </w:p>
    <w:p w:rsidR="008A5996" w:rsidRDefault="001530F4" w:rsidP="008A5996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August 1, 2011 – July 31, 2016</w:t>
      </w:r>
    </w:p>
    <w:p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$475K</w:t>
      </w:r>
    </w:p>
    <w:p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:rsidR="008A5996" w:rsidRDefault="008A5996" w:rsidP="008A5996">
      <w:pPr>
        <w:ind w:left="360"/>
        <w:rPr>
          <w:color w:val="000000"/>
        </w:rPr>
      </w:pPr>
    </w:p>
    <w:p w:rsidR="0006305B" w:rsidRDefault="0006305B" w:rsidP="0006305B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  <w:t xml:space="preserve">FASTMATH </w:t>
      </w:r>
      <w:proofErr w:type="spellStart"/>
      <w:r>
        <w:rPr>
          <w:color w:val="000000"/>
        </w:rPr>
        <w:t>SciDAC</w:t>
      </w:r>
      <w:proofErr w:type="spellEnd"/>
      <w:r>
        <w:rPr>
          <w:color w:val="000000"/>
        </w:rPr>
        <w:t xml:space="preserve"> Institute</w:t>
      </w:r>
    </w:p>
    <w:p w:rsidR="0006305B" w:rsidRDefault="000840BE" w:rsidP="0006305B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0</w:t>
      </w:r>
      <w:r w:rsidR="0006305B">
        <w:rPr>
          <w:color w:val="000000"/>
        </w:rPr>
        <w:t>%</w:t>
      </w:r>
    </w:p>
    <w:p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September 1, 2011 – August 31, 2014</w:t>
      </w:r>
    </w:p>
    <w:p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$270K</w:t>
      </w:r>
    </w:p>
    <w:p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:rsidR="002E545D" w:rsidRDefault="002E545D" w:rsidP="002E545D">
      <w:pPr>
        <w:ind w:left="360"/>
        <w:rPr>
          <w:color w:val="000000"/>
        </w:rPr>
      </w:pPr>
    </w:p>
    <w:p w:rsidR="00DF7645" w:rsidRDefault="00DF7645">
      <w:pPr>
        <w:rPr>
          <w:color w:val="000000"/>
        </w:rPr>
      </w:pPr>
      <w:r>
        <w:rPr>
          <w:color w:val="000000"/>
          <w:u w:val="single"/>
        </w:rPr>
        <w:t>Pending Support</w:t>
      </w:r>
      <w:r>
        <w:rPr>
          <w:color w:val="000000"/>
        </w:rPr>
        <w:t>:</w:t>
      </w:r>
    </w:p>
    <w:p w:rsidR="002E545D" w:rsidRDefault="002E545D" w:rsidP="002E545D">
      <w:pPr>
        <w:rPr>
          <w:color w:val="000000"/>
        </w:rPr>
      </w:pPr>
    </w:p>
    <w:p w:rsidR="000840BE" w:rsidRDefault="0051288F" w:rsidP="0051288F">
      <w:p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</w:t>
      </w:r>
      <w:r w:rsidRPr="00340A1E"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</w:r>
      <w:r w:rsidR="00DE42C9">
        <w:rPr>
          <w:color w:val="000000"/>
        </w:rPr>
        <w:t>A Hierarchical Approach to Uncertainty Quantification</w:t>
      </w:r>
    </w:p>
    <w:p w:rsidR="0051288F" w:rsidRDefault="00DE42C9" w:rsidP="0051288F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25</w:t>
      </w:r>
      <w:r w:rsidR="0051288F">
        <w:rPr>
          <w:color w:val="000000"/>
        </w:rPr>
        <w:t>%</w:t>
      </w:r>
    </w:p>
    <w:p w:rsidR="0051288F" w:rsidRDefault="0051288F" w:rsidP="0051288F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DE42C9">
        <w:rPr>
          <w:color w:val="000000"/>
        </w:rPr>
        <w:t>September 1, 2013 – August</w:t>
      </w:r>
      <w:r w:rsidR="000840BE">
        <w:rPr>
          <w:color w:val="000000"/>
        </w:rPr>
        <w:t xml:space="preserve"> 31</w:t>
      </w:r>
      <w:r w:rsidR="00DE42C9">
        <w:rPr>
          <w:color w:val="000000"/>
        </w:rPr>
        <w:t>, 2016</w:t>
      </w:r>
    </w:p>
    <w:p w:rsidR="0051288F" w:rsidRDefault="00DE42C9" w:rsidP="0051288F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$428</w:t>
      </w:r>
      <w:r w:rsidR="0051288F">
        <w:rPr>
          <w:color w:val="000000"/>
        </w:rPr>
        <w:t>K</w:t>
      </w:r>
    </w:p>
    <w:p w:rsidR="000840BE" w:rsidRDefault="0051288F" w:rsidP="000840BE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 xml:space="preserve">DOE </w:t>
      </w:r>
      <w:proofErr w:type="spellStart"/>
      <w:r>
        <w:rPr>
          <w:color w:val="000000"/>
        </w:rPr>
        <w:t>SciDAC</w:t>
      </w:r>
      <w:proofErr w:type="spellEnd"/>
      <w:r>
        <w:rPr>
          <w:color w:val="000000"/>
        </w:rPr>
        <w:t xml:space="preserve"> – </w:t>
      </w:r>
      <w:r w:rsidR="000840BE">
        <w:rPr>
          <w:color w:val="000000"/>
        </w:rPr>
        <w:t>ASCR</w:t>
      </w:r>
    </w:p>
    <w:p w:rsidR="000840BE" w:rsidRDefault="000840BE" w:rsidP="000840BE">
      <w:pPr>
        <w:ind w:left="360"/>
        <w:rPr>
          <w:color w:val="000000"/>
        </w:rPr>
      </w:pPr>
    </w:p>
    <w:p w:rsidR="000840BE" w:rsidRDefault="000840BE" w:rsidP="000840BE">
      <w:pPr>
        <w:ind w:left="360"/>
        <w:rPr>
          <w:color w:val="000000"/>
        </w:rPr>
      </w:pPr>
    </w:p>
    <w:p w:rsidR="00FB7870" w:rsidRDefault="00FB7870" w:rsidP="00D45615">
      <w:pPr>
        <w:ind w:left="360"/>
        <w:rPr>
          <w:color w:val="000000"/>
        </w:rPr>
      </w:pPr>
    </w:p>
    <w:sectPr w:rsidR="00FB7870" w:rsidSect="00CD3AF7">
      <w:footnotePr>
        <w:pos w:val="beneathText"/>
      </w:footnotePr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440"/>
        </w:tabs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E5B14"/>
    <w:rsid w:val="0006305B"/>
    <w:rsid w:val="000840BE"/>
    <w:rsid w:val="000E5B14"/>
    <w:rsid w:val="001530F4"/>
    <w:rsid w:val="00154E84"/>
    <w:rsid w:val="001926EB"/>
    <w:rsid w:val="002304D2"/>
    <w:rsid w:val="002D6F0A"/>
    <w:rsid w:val="002E545D"/>
    <w:rsid w:val="00340A1E"/>
    <w:rsid w:val="0051288F"/>
    <w:rsid w:val="006270B1"/>
    <w:rsid w:val="0074608B"/>
    <w:rsid w:val="0079541F"/>
    <w:rsid w:val="0083686E"/>
    <w:rsid w:val="008A5996"/>
    <w:rsid w:val="008E301D"/>
    <w:rsid w:val="008E5210"/>
    <w:rsid w:val="009C2C8B"/>
    <w:rsid w:val="00A2640B"/>
    <w:rsid w:val="00AB2E6C"/>
    <w:rsid w:val="00BB299B"/>
    <w:rsid w:val="00CA7274"/>
    <w:rsid w:val="00CD3AF7"/>
    <w:rsid w:val="00D1056D"/>
    <w:rsid w:val="00D1370A"/>
    <w:rsid w:val="00D45615"/>
    <w:rsid w:val="00D93F95"/>
    <w:rsid w:val="00DE42C9"/>
    <w:rsid w:val="00DF7645"/>
    <w:rsid w:val="00EC177C"/>
    <w:rsid w:val="00EF7620"/>
    <w:rsid w:val="00F40971"/>
    <w:rsid w:val="00FA031B"/>
    <w:rsid w:val="00FA35EA"/>
    <w:rsid w:val="00FB7870"/>
    <w:rsid w:val="00FF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matreleaven</dc:creator>
  <cp:lastModifiedBy>John Bell</cp:lastModifiedBy>
  <cp:revision>3</cp:revision>
  <cp:lastPrinted>2009-01-29T17:50:00Z</cp:lastPrinted>
  <dcterms:created xsi:type="dcterms:W3CDTF">2013-05-14T16:43:00Z</dcterms:created>
  <dcterms:modified xsi:type="dcterms:W3CDTF">2013-05-14T17:04:00Z</dcterms:modified>
</cp:coreProperties>
</file>