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276" w:lineRule="auto"/>
        <w:rPr>
          <w:sz w:val="40"/>
        </w:rPr>
      </w:pPr>
      <w:r>
        <w:rPr>
          <w:rFonts w:hint="eastAsia"/>
          <w:sz w:val="40"/>
        </w:rPr>
        <w:t>市民卡公司现有应用与电子市民卡应用</w:t>
      </w:r>
    </w:p>
    <w:p>
      <w:pPr>
        <w:pStyle w:val="14"/>
        <w:spacing w:line="276" w:lineRule="auto"/>
        <w:rPr>
          <w:sz w:val="40"/>
        </w:rPr>
      </w:pPr>
      <w:r>
        <w:rPr>
          <w:rFonts w:hint="eastAsia"/>
          <w:sz w:val="40"/>
        </w:rPr>
        <w:t>集成方案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18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2767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</w:pPr>
          </w:p>
        </w:tc>
        <w:tc>
          <w:tcPr>
            <w:tcW w:w="2767" w:type="dxa"/>
          </w:tcPr>
          <w:p>
            <w:pPr>
              <w:jc w:val="center"/>
            </w:pPr>
          </w:p>
        </w:tc>
        <w:tc>
          <w:tcPr>
            <w:tcW w:w="27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</w:pPr>
          </w:p>
        </w:tc>
        <w:tc>
          <w:tcPr>
            <w:tcW w:w="2767" w:type="dxa"/>
          </w:tcPr>
          <w:p>
            <w:pPr>
              <w:jc w:val="center"/>
            </w:pPr>
          </w:p>
        </w:tc>
        <w:tc>
          <w:tcPr>
            <w:tcW w:w="27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</w:pPr>
          </w:p>
        </w:tc>
        <w:tc>
          <w:tcPr>
            <w:tcW w:w="2767" w:type="dxa"/>
          </w:tcPr>
          <w:p>
            <w:pPr>
              <w:jc w:val="center"/>
            </w:pPr>
          </w:p>
        </w:tc>
        <w:tc>
          <w:tcPr>
            <w:tcW w:w="27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jc w:val="center"/>
            </w:pPr>
          </w:p>
        </w:tc>
        <w:tc>
          <w:tcPr>
            <w:tcW w:w="2767" w:type="dxa"/>
          </w:tcPr>
          <w:p>
            <w:pPr>
              <w:jc w:val="center"/>
            </w:pPr>
          </w:p>
        </w:tc>
        <w:tc>
          <w:tcPr>
            <w:tcW w:w="2768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南京联创汇金信息科技有限公司</w:t>
      </w: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2017年4月</w:t>
      </w:r>
    </w:p>
    <w:p>
      <w:pPr>
        <w:widowControl/>
      </w:pPr>
      <w:r>
        <w:br w:type="page"/>
      </w:r>
    </w:p>
    <w:p>
      <w:pPr>
        <w:pStyle w:val="2"/>
        <w:numPr>
          <w:ilvl w:val="0"/>
          <w:numId w:val="0"/>
        </w:numPr>
        <w:ind w:left="432" w:hanging="432"/>
      </w:pPr>
      <w:r>
        <w:t xml:space="preserve">1. </w:t>
      </w:r>
      <w:r>
        <w:rPr>
          <w:rFonts w:hint="eastAsia"/>
        </w:rPr>
        <w:t>方案背景</w:t>
      </w:r>
    </w:p>
    <w:p>
      <w:pPr>
        <w:ind w:firstLine="420"/>
      </w:pPr>
      <w:r>
        <w:rPr>
          <w:rFonts w:hint="eastAsia"/>
        </w:rPr>
        <w:t xml:space="preserve">应集团4月28日会议讨论结果要求，电子市民卡与现有市民卡公司应用集成时，不再以独立应用形态呈现，而是集成到现有市民卡公司市民卡相关应用内，作为子模块存在，同时打通原有市民卡账号体系与现有电子市民卡账号体系。结合现有市民卡应用架构及电子市民卡应用架构分析，形成此方案，以对后续开发工作提供知道及要求。 </w:t>
      </w:r>
    </w:p>
    <w:p>
      <w:pPr>
        <w:pStyle w:val="2"/>
        <w:numPr>
          <w:ilvl w:val="0"/>
          <w:numId w:val="0"/>
        </w:numPr>
        <w:ind w:left="432" w:hanging="432"/>
      </w:pPr>
      <w:r>
        <w:t xml:space="preserve">2. </w:t>
      </w:r>
      <w:r>
        <w:rPr>
          <w:rFonts w:hint="eastAsia"/>
        </w:rPr>
        <w:t>阅读对象</w:t>
      </w:r>
    </w:p>
    <w:p>
      <w:pPr>
        <w:ind w:firstLine="420"/>
      </w:pPr>
      <w:r>
        <w:rPr>
          <w:rFonts w:hint="eastAsia"/>
        </w:rPr>
        <w:t>电子市民卡产品部全体人员、技术人员，市民卡公司产品人员、技术人员或技术服务方。</w:t>
      </w:r>
    </w:p>
    <w:p>
      <w:pPr>
        <w:pStyle w:val="2"/>
        <w:numPr>
          <w:ilvl w:val="0"/>
          <w:numId w:val="0"/>
        </w:numPr>
        <w:ind w:left="432" w:hanging="432"/>
      </w:pPr>
      <w:r>
        <w:t xml:space="preserve">3. </w:t>
      </w:r>
      <w:r>
        <w:rPr>
          <w:rFonts w:hint="eastAsia"/>
        </w:rPr>
        <w:t>名称解释</w:t>
      </w:r>
    </w:p>
    <w:tbl>
      <w:tblPr>
        <w:tblStyle w:val="1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2990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>
            <w:r>
              <w:rPr>
                <w:rFonts w:hint="eastAsia"/>
              </w:rPr>
              <w:t>文档名词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定义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>
            <w:r>
              <w:rPr>
                <w:rFonts w:hint="eastAsia"/>
              </w:rPr>
              <w:t>市民卡app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市民卡公司现有app</w:t>
            </w:r>
            <w:r>
              <w:t>，</w:t>
            </w:r>
            <w:r>
              <w:rPr>
                <w:rFonts w:hint="eastAsia"/>
              </w:rPr>
              <w:t>包含</w:t>
            </w:r>
            <w:r>
              <w:t>iOS</w:t>
            </w:r>
            <w:r>
              <w:rPr>
                <w:rFonts w:hint="eastAsia"/>
              </w:rPr>
              <w:t>平台、Android平台等实现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如苏州现有的市民卡应用“苏州市民卡”、徐州市民卡公司的“徐州市民卡”等应用。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>
            <w:r>
              <w:rPr>
                <w:rFonts w:hint="eastAsia"/>
              </w:rPr>
              <w:t>市民卡后台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指市民卡公司现有的账号后台系统，包括但部限于提供注册、登陆、密码找回、授权等功能。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视各市民卡公司系统架构，由各市民卡公司提供实现。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>
            <w:r>
              <w:rPr>
                <w:rFonts w:hint="eastAsia"/>
              </w:rPr>
              <w:t xml:space="preserve">电子市民卡APP </w:t>
            </w:r>
            <w:r>
              <w:t>SDK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汇金公司提供的包含电子市民卡完整业务逻辑实现，包含</w:t>
            </w:r>
            <w:r>
              <w:t>iOS</w:t>
            </w:r>
            <w:r>
              <w:rPr>
                <w:rFonts w:hint="eastAsia"/>
              </w:rPr>
              <w:t>平台及Android平台等实现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汇金公司提供完整业务逻辑实现，并提供完整的接口开发文档。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>
            <w:r>
              <w:rPr>
                <w:rFonts w:hint="eastAsia"/>
              </w:rPr>
              <w:t>电子市民卡后台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汇金公司提供对电子市民卡提供完整业务支撑的后台系统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汇金公司实现完整的业务逻辑并提供完整的技术接口开发文档。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>
            <w:r>
              <w:rPr>
                <w:rFonts w:hint="eastAsia"/>
              </w:rPr>
              <w:t>渠道编码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每家市民卡公司对应唯一的渠道信息，4字符长度编码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详见附录1，市民卡渠道编码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/>
        </w:tc>
        <w:tc>
          <w:tcPr>
            <w:tcW w:w="2990" w:type="dxa"/>
          </w:tcPr>
          <w:p/>
        </w:tc>
        <w:tc>
          <w:tcPr>
            <w:tcW w:w="39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/>
        </w:tc>
        <w:tc>
          <w:tcPr>
            <w:tcW w:w="2990" w:type="dxa"/>
          </w:tcPr>
          <w:p/>
        </w:tc>
        <w:tc>
          <w:tcPr>
            <w:tcW w:w="3969" w:type="dxa"/>
          </w:tcPr>
          <w:p/>
        </w:tc>
      </w:tr>
    </w:tbl>
    <w:p/>
    <w:p>
      <w:pPr>
        <w:pStyle w:val="2"/>
        <w:numPr>
          <w:ilvl w:val="0"/>
          <w:numId w:val="0"/>
        </w:numPr>
        <w:ind w:left="432" w:hanging="432"/>
      </w:pPr>
      <w:r>
        <w:t xml:space="preserve">4. </w:t>
      </w:r>
      <w:r>
        <w:rPr>
          <w:rFonts w:hint="eastAsia"/>
        </w:rPr>
        <w:t>业务流程</w:t>
      </w:r>
    </w:p>
    <w:p>
      <w:pPr>
        <w:pStyle w:val="3"/>
        <w:numPr>
          <w:ilvl w:val="0"/>
          <w:numId w:val="0"/>
        </w:numPr>
        <w:ind w:left="576" w:hanging="576"/>
      </w:pPr>
      <w:r>
        <w:t xml:space="preserve">4.1 </w:t>
      </w:r>
      <w:r>
        <w:rPr>
          <w:rFonts w:hint="eastAsia"/>
        </w:rPr>
        <w:t>时序图</w:t>
      </w:r>
    </w:p>
    <w:p>
      <w:r>
        <w:drawing>
          <wp:inline distT="0" distB="0" distL="0" distR="0">
            <wp:extent cx="5010150" cy="870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流程说明</w:t>
      </w:r>
    </w:p>
    <w:p>
      <w:pPr>
        <w:pStyle w:val="4"/>
        <w:numPr>
          <w:ilvl w:val="0"/>
          <w:numId w:val="0"/>
        </w:numPr>
      </w:pPr>
      <w:r>
        <w:t xml:space="preserve">4.2.1 </w:t>
      </w:r>
      <w:r>
        <w:rPr>
          <w:rFonts w:hint="eastAsia"/>
        </w:rPr>
        <w:t>首次登陆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市民卡App发送开通电子市民卡请求到市民卡后台，申请开通电子市民卡业务；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市民卡后台获取用户账号信息及渠道编码至电子市民卡后台，申请业务登陆授权；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电子市民卡后台记录市民卡用户账号信息，开通业务授权，并返回本次授权标识；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市民卡后台获取返回的本次登陆授权，更新业务开通状态，返回给市民卡App；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市民卡App使用本次登陆授权，启动电子市民卡SDK</w:t>
      </w:r>
      <w:r>
        <w:t xml:space="preserve">； 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电子市民卡</w:t>
      </w:r>
      <w:r>
        <w:t>SDK</w:t>
      </w:r>
      <w:r>
        <w:rPr>
          <w:rFonts w:hint="eastAsia"/>
        </w:rPr>
        <w:t>使用授权信息，发送至电子市民卡后台进行验证；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进入电子市民卡SDK页面，继续后续业务逻辑。</w:t>
      </w:r>
    </w:p>
    <w:p>
      <w:pPr>
        <w:pStyle w:val="29"/>
        <w:ind w:left="360" w:firstLine="0" w:firstLineChars="0"/>
        <w:rPr>
          <w:b/>
          <w:color w:val="FF0000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非首次登陆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市民卡App发送开通电子市民卡请求到市民卡后台，申请登陆电子市民卡；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市民卡后台获取用户账号信息及渠道编码至电子市民卡后台，申请业务登陆授权；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电子市民卡后台更新市民卡用户账号信息，开通业务授权，并返回本次授权标识；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市民卡后台获取返回的本次登陆授权，返回给市民卡App；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市民卡App使用本次登陆授权，启动电子市民卡SDK</w:t>
      </w:r>
      <w:r>
        <w:t>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电子市民卡</w:t>
      </w:r>
      <w:r>
        <w:t>SDK</w:t>
      </w:r>
      <w:r>
        <w:rPr>
          <w:rFonts w:hint="eastAsia"/>
        </w:rPr>
        <w:t>使用授权信息，发送至电子市民卡后台进行验证；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进入电子市民卡SDK页面，继续后续业务逻辑。</w:t>
      </w:r>
    </w:p>
    <w:p>
      <w:pPr>
        <w:pStyle w:val="2"/>
        <w:numPr>
          <w:ilvl w:val="0"/>
          <w:numId w:val="0"/>
        </w:numPr>
        <w:ind w:left="432" w:hanging="432"/>
      </w:pPr>
      <w:r>
        <w:t xml:space="preserve">5. </w:t>
      </w:r>
      <w:r>
        <w:rPr>
          <w:rFonts w:hint="eastAsia"/>
        </w:rPr>
        <w:t>接口定义</w:t>
      </w:r>
    </w:p>
    <w:p>
      <w:pPr>
        <w:pStyle w:val="3"/>
        <w:numPr>
          <w:ilvl w:val="0"/>
          <w:numId w:val="0"/>
        </w:numPr>
        <w:ind w:left="576" w:hanging="576"/>
      </w:pPr>
      <w:r>
        <w:t xml:space="preserve">5.1. </w:t>
      </w:r>
      <w:r>
        <w:rPr>
          <w:rFonts w:hint="eastAsia"/>
        </w:rPr>
        <w:t>电子市民卡</w:t>
      </w:r>
      <w:r>
        <w:t>SDK</w:t>
      </w:r>
      <w:r>
        <w:rPr>
          <w:rFonts w:hint="eastAsia"/>
        </w:rPr>
        <w:t>接口</w:t>
      </w:r>
    </w:p>
    <w:p>
      <w:r>
        <w:tab/>
      </w:r>
      <w:r>
        <w:rPr>
          <w:rFonts w:hint="eastAsia"/>
        </w:rPr>
        <w:t>Android版本</w:t>
      </w:r>
    </w:p>
    <w:tbl>
      <w:tblPr>
        <w:tblStyle w:val="17"/>
        <w:tblW w:w="8302" w:type="dxa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1129"/>
        <w:gridCol w:w="1050"/>
        <w:gridCol w:w="1644"/>
        <w:gridCol w:w="2523"/>
        <w:gridCol w:w="1013"/>
        <w:gridCol w:w="943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71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SzsmkPay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1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ndroid登录接口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signature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授权码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苏州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latitude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</w:pPr>
            <w:r>
              <w:t>lontitude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</w:pPr>
            <w:r>
              <w:t>loginid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登录id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UserPlace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区域标识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802000</w:t>
            </w:r>
          </w:p>
        </w:tc>
      </w:tr>
    </w:tbl>
    <w:p/>
    <w:tbl>
      <w:tblPr>
        <w:tblStyle w:val="17"/>
        <w:tblW w:w="8302" w:type="dxa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1129"/>
        <w:gridCol w:w="1050"/>
        <w:gridCol w:w="1644"/>
        <w:gridCol w:w="2523"/>
        <w:gridCol w:w="1013"/>
        <w:gridCol w:w="943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71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Pay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1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启动sdk的方法接口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MainActivity.this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map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</w:pPr>
            <w:r>
              <w:t>SzsmkPay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SzsmkPay pay=new SzsmkPay();</w:t>
      </w:r>
      <w:r>
        <w:br w:type="textWrapping"/>
      </w:r>
      <w:r>
        <w:t xml:space="preserve">            Map&lt;String, String&gt; map = new HashMap&lt;String, String&gt;();</w:t>
      </w:r>
      <w:r>
        <w:br w:type="textWrapping"/>
      </w:r>
      <w:r>
        <w:t xml:space="preserve">              map.put("signature", ");</w:t>
      </w:r>
      <w:r>
        <w:rPr>
          <w:rFonts w:hint="eastAsia"/>
        </w:rPr>
        <w:t>//授权码</w:t>
      </w:r>
      <w:r>
        <w:br w:type="textWrapping"/>
      </w:r>
      <w:r>
        <w:t xml:space="preserve">              map.put("city", "</w:t>
      </w:r>
      <w:r>
        <w:rPr>
          <w:rFonts w:hint="eastAsia"/>
        </w:rPr>
        <w:t>苏州</w:t>
      </w:r>
      <w:r>
        <w:t>");</w:t>
      </w:r>
      <w:r>
        <w:rPr>
          <w:rFonts w:hint="eastAsia"/>
        </w:rPr>
        <w:t>//地区</w:t>
      </w:r>
      <w:r>
        <w:br w:type="textWrapping"/>
      </w:r>
      <w:r>
        <w:t xml:space="preserve">              map.put("latitude", "231.123");//</w:t>
      </w:r>
      <w:r>
        <w:rPr>
          <w:rFonts w:hint="eastAsia"/>
        </w:rPr>
        <w:t>维度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</w:t>
      </w:r>
      <w:r>
        <w:t>map.put("lontitude", "231,3123");//</w:t>
      </w:r>
      <w:r>
        <w:rPr>
          <w:rFonts w:hint="eastAsia"/>
        </w:rPr>
        <w:t>精度</w:t>
      </w:r>
      <w:r>
        <w:br w:type="textWrapping"/>
      </w:r>
      <w:r>
        <w:t xml:space="preserve">              map.put("phonenumber", "13814837800");</w:t>
      </w:r>
      <w:r>
        <w:rPr>
          <w:rFonts w:hint="eastAsia"/>
        </w:rPr>
        <w:t>//手机号</w:t>
      </w:r>
      <w:r>
        <w:br w:type="textWrapping"/>
      </w:r>
      <w:r>
        <w:t xml:space="preserve">              map.put("UserPlace", "802000");//</w:t>
      </w:r>
      <w:r>
        <w:rPr>
          <w:rFonts w:hint="eastAsia"/>
        </w:rPr>
        <w:t>地域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t>pay.Pay(MainActivity.this, map,new  SzsmkPay. (){</w:t>
      </w:r>
      <w:r>
        <w:rPr>
          <w:rFonts w:hint="eastAsia"/>
        </w:rPr>
        <w:t>//关闭sdk回调</w:t>
      </w:r>
      <w:r>
        <w:br w:type="textWrapping"/>
      </w:r>
      <w:r>
        <w:t xml:space="preserve">               @Override</w:t>
      </w:r>
      <w:r>
        <w:br w:type="textWrapping"/>
      </w:r>
      <w:r>
        <w:t xml:space="preserve">               public void close() {</w:t>
      </w:r>
      <w:r>
        <w:br w:type="textWrapping"/>
      </w:r>
      <w:r>
        <w:t xml:space="preserve">                  showTipDialog("sdk</w:t>
      </w:r>
      <w:r>
        <w:rPr>
          <w:rFonts w:hint="eastAsia"/>
        </w:rPr>
        <w:t>关闭了</w:t>
      </w:r>
      <w:r>
        <w:t>");</w:t>
      </w:r>
      <w:r>
        <w:br w:type="textWrapping"/>
      </w:r>
      <w:r>
        <w:t xml:space="preserve">               }</w:t>
      </w:r>
      <w:r>
        <w:br w:type="textWrapping"/>
      </w:r>
      <w:r>
        <w:t xml:space="preserve">            });</w:t>
      </w:r>
    </w:p>
    <w:p/>
    <w:p>
      <w:r>
        <w:tab/>
      </w:r>
      <w:r>
        <w:t>IOS</w:t>
      </w:r>
      <w:r>
        <w:rPr>
          <w:rFonts w:hint="eastAsia"/>
        </w:rPr>
        <w:t>版本</w:t>
      </w:r>
    </w:p>
    <w:tbl>
      <w:tblPr>
        <w:tblStyle w:val="17"/>
        <w:tblW w:w="8221" w:type="dxa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1129"/>
        <w:gridCol w:w="1090"/>
        <w:gridCol w:w="1745"/>
        <w:gridCol w:w="2265"/>
        <w:gridCol w:w="1032"/>
        <w:gridCol w:w="960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callSDKWithVC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ios登录接口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ViewController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当前ViewController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UserID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登录id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授权获取的loginid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0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AreaCode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区域码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802000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0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成功回调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failure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失败回调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/>
    <w:tbl>
      <w:tblPr>
        <w:tblStyle w:val="17"/>
        <w:tblW w:w="8221" w:type="dxa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1129"/>
        <w:gridCol w:w="1090"/>
        <w:gridCol w:w="1745"/>
        <w:gridCol w:w="2265"/>
        <w:gridCol w:w="1032"/>
        <w:gridCol w:w="960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changeUrl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配置SDK后台服务IP地址接口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configIP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配置SDK后台服务IP地址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/>
    <w:tbl>
      <w:tblPr>
        <w:tblStyle w:val="17"/>
        <w:tblW w:w="8221" w:type="dxa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1129"/>
        <w:gridCol w:w="1090"/>
        <w:gridCol w:w="1745"/>
        <w:gridCol w:w="2265"/>
        <w:gridCol w:w="1032"/>
        <w:gridCol w:w="960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sharedInstance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LCTool</w:t>
            </w:r>
            <w:r>
              <w:rPr>
                <w:rFonts w:hint="eastAsia"/>
              </w:rPr>
              <w:t>单例</w:t>
            </w:r>
            <w:r>
              <w:rPr>
                <w:rFonts w:hint="eastAsia" w:ascii="Arial Unicode MS" w:hAnsi="Arial Unicode MS" w:eastAsia="Arial Unicode MS" w:cs="Arial Unicode MS"/>
              </w:rPr>
              <w:t>例</w:t>
            </w:r>
            <w:r>
              <w:rPr>
                <w:rFonts w:hint="eastAsia" w:ascii="宋体" w:hAnsi="宋体" w:eastAsia="宋体" w:cs="宋体"/>
              </w:rPr>
              <w:t>初始化</w:t>
            </w:r>
            <w:r>
              <w:rPr>
                <w:rFonts w:hint="eastAsia" w:ascii="微软雅黑" w:hAnsi="微软雅黑" w:eastAsia="微软雅黑" w:cs="微软雅黑"/>
              </w:rPr>
              <w:t>⽅</w:t>
            </w:r>
            <w:r>
              <w:rPr>
                <w:rFonts w:hint="eastAsia" w:ascii="宋体" w:hAnsi="宋体" w:eastAsia="宋体" w:cs="宋体"/>
              </w:rPr>
              <w:t>方法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/>
    <w:tbl>
      <w:tblPr>
        <w:tblStyle w:val="17"/>
        <w:tblW w:w="8221" w:type="dxa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1129"/>
        <w:gridCol w:w="1090"/>
        <w:gridCol w:w="1745"/>
        <w:gridCol w:w="2265"/>
        <w:gridCol w:w="1032"/>
        <w:gridCol w:w="960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didResignActive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SDK</w:t>
            </w:r>
            <w:r>
              <w:rPr>
                <w:rFonts w:hint="eastAsia"/>
              </w:rPr>
              <w:t>进</w:t>
            </w:r>
            <w:r>
              <w:rPr>
                <w:rFonts w:hint="eastAsia" w:ascii="微软雅黑" w:hAnsi="微软雅黑" w:eastAsia="微软雅黑" w:cs="微软雅黑"/>
              </w:rPr>
              <w:t>⼊</w:t>
            </w:r>
            <w:r>
              <w:rPr>
                <w:rFonts w:hint="eastAsia" w:ascii="宋体" w:hAnsi="宋体" w:eastAsia="宋体" w:cs="宋体"/>
              </w:rPr>
              <w:t>入挂起状态，</w:t>
            </w:r>
            <w:r>
              <w:t xml:space="preserve"> </w:t>
            </w:r>
            <w:r>
              <w:rPr>
                <w:rFonts w:hint="eastAsia"/>
              </w:rPr>
              <w:t>在</w:t>
            </w:r>
            <w:r>
              <w:t>AppDelegate</w:t>
            </w:r>
            <w:r>
              <w:rPr>
                <w:rFonts w:hint="eastAsia"/>
              </w:rPr>
              <w:t>中</w:t>
            </w:r>
            <w:r>
              <w:t>applicationWillResignActive:</w:t>
            </w:r>
            <w:r>
              <w:rPr>
                <w:rFonts w:hint="eastAsia"/>
              </w:rPr>
              <w:t>调</w:t>
            </w:r>
            <w:r>
              <w:rPr>
                <w:rFonts w:hint="eastAsia" w:ascii="微软雅黑" w:hAnsi="微软雅黑" w:eastAsia="微软雅黑" w:cs="微软雅黑"/>
              </w:rPr>
              <w:t>⽤</w:t>
            </w:r>
            <w:r>
              <w:rPr>
                <w:rFonts w:hint="eastAsia" w:ascii="宋体" w:hAnsi="宋体" w:eastAsia="宋体" w:cs="宋体"/>
              </w:rPr>
              <w:t>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/>
    <w:tbl>
      <w:tblPr>
        <w:tblStyle w:val="17"/>
        <w:tblW w:w="8221" w:type="dxa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1129"/>
        <w:gridCol w:w="1090"/>
        <w:gridCol w:w="1745"/>
        <w:gridCol w:w="2265"/>
        <w:gridCol w:w="1032"/>
        <w:gridCol w:w="960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configWithWindow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0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t>appdelegate</w:t>
            </w:r>
            <w:r>
              <w:rPr>
                <w:rFonts w:hint="eastAsia"/>
              </w:rPr>
              <w:t>中，</w:t>
            </w:r>
            <w:r>
              <w:t>application: didFinishLaunchingWithOptions</w:t>
            </w:r>
            <w:r>
              <w:rPr>
                <w:rFonts w:hint="eastAsia"/>
              </w:rPr>
              <w:t>：</w:t>
            </w:r>
            <w:r>
              <w:rPr>
                <w:rFonts w:hint="eastAsia" w:ascii="微软雅黑" w:hAnsi="微软雅黑" w:eastAsia="微软雅黑" w:cs="微软雅黑"/>
              </w:rPr>
              <w:t>⽅</w:t>
            </w:r>
            <w:r>
              <w:rPr>
                <w:rFonts w:hint="eastAsia" w:ascii="宋体" w:hAnsi="宋体" w:eastAsia="宋体" w:cs="宋体"/>
              </w:rPr>
              <w:t>方法中调</w:t>
            </w:r>
            <w:r>
              <w:rPr>
                <w:rFonts w:hint="eastAsia" w:ascii="微软雅黑" w:hAnsi="微软雅黑" w:eastAsia="微软雅黑" w:cs="微软雅黑"/>
              </w:rPr>
              <w:t>⽤</w:t>
            </w:r>
            <w:r>
              <w:rPr>
                <w:rFonts w:hint="eastAsia" w:ascii="宋体" w:hAnsi="宋体" w:eastAsia="宋体" w:cs="宋体"/>
              </w:rPr>
              <w:t>用，注</w:t>
            </w:r>
            <w:r>
              <w:t xml:space="preserve"> </w:t>
            </w:r>
            <w:r>
              <w:rPr>
                <w:rFonts w:hint="eastAsia"/>
              </w:rPr>
              <w:t>意，需要在</w:t>
            </w:r>
            <w:r>
              <w:t>self.window</w:t>
            </w:r>
            <w:r>
              <w:rPr>
                <w:rFonts w:hint="eastAsia"/>
              </w:rPr>
              <w:t>初始化之后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默认值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appdelgate中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/>
    <w:p>
      <w:r>
        <w:rPr>
          <w:rFonts w:hint="eastAsia"/>
          <w:b/>
        </w:rPr>
        <w:t>参考“LCWR-iOS接入文档.pdf”</w:t>
      </w:r>
      <w:r>
        <w:object>
          <v:shape id="_x0000_i1025" o:spt="75" type="#_x0000_t75" style="height:44.75pt;width:64.3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电子市民卡后台接口</w:t>
      </w:r>
    </w:p>
    <w:tbl>
      <w:tblPr>
        <w:tblStyle w:val="17"/>
        <w:tblW w:w="8160" w:type="dxa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1040"/>
        <w:gridCol w:w="1179"/>
        <w:gridCol w:w="1134"/>
        <w:gridCol w:w="2815"/>
        <w:gridCol w:w="1032"/>
        <w:gridCol w:w="960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71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前置授权接口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1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苏州市民卡调用接口，该接口调用mca获取授权标识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是否必须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值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9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Mobile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9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UniqFlag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市民卡app用户唯一标识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UserPlace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区域标识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位渠道编码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出参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Signature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授权标识码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7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LoginId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登录id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r>
        <w:t xml:space="preserve">5.3 </w:t>
      </w:r>
      <w:r>
        <w:rPr>
          <w:rFonts w:hint="eastAsia"/>
        </w:rPr>
        <w:t>其他接口</w:t>
      </w:r>
    </w:p>
    <w:p>
      <w:r>
        <w:tab/>
      </w:r>
      <w:r>
        <w:rPr>
          <w:rFonts w:hint="eastAsia"/>
        </w:rPr>
        <w:t>涉及到因本方案，需要在市民卡app或市民卡后台系统进行增加或修改的接口，由各市民卡公司自行定义，不在本方案中定义。</w:t>
      </w:r>
    </w:p>
    <w:p/>
    <w:p>
      <w:pPr>
        <w:pStyle w:val="2"/>
        <w:numPr>
          <w:ilvl w:val="0"/>
          <w:numId w:val="0"/>
        </w:numPr>
        <w:ind w:left="432" w:hanging="432"/>
      </w:pPr>
      <w:r>
        <w:rPr>
          <w:rFonts w:hint="eastAsia"/>
        </w:rPr>
        <w:t>附录1市民卡渠道编码定义</w:t>
      </w:r>
    </w:p>
    <w:tbl>
      <w:tblPr>
        <w:tblStyle w:val="18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2767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r>
              <w:rPr>
                <w:rFonts w:hint="eastAsia"/>
              </w:rPr>
              <w:t>市民卡公司</w:t>
            </w:r>
          </w:p>
        </w:tc>
        <w:tc>
          <w:tcPr>
            <w:tcW w:w="2767" w:type="dxa"/>
          </w:tcPr>
          <w:p>
            <w:r>
              <w:rPr>
                <w:rFonts w:hint="eastAsia"/>
              </w:rPr>
              <w:t>编码定义</w:t>
            </w:r>
          </w:p>
        </w:tc>
        <w:tc>
          <w:tcPr>
            <w:tcW w:w="276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2767" w:type="dxa"/>
          </w:tcPr>
          <w:p>
            <w:r>
              <w:rPr>
                <w:rFonts w:hint="eastAsia"/>
              </w:rPr>
              <w:t>苏州市民卡公司</w:t>
            </w:r>
          </w:p>
        </w:tc>
        <w:tc>
          <w:tcPr>
            <w:tcW w:w="2767" w:type="dxa"/>
          </w:tcPr>
          <w:p>
            <w:r>
              <w:t>802000</w:t>
            </w:r>
          </w:p>
        </w:tc>
        <w:tc>
          <w:tcPr>
            <w:tcW w:w="2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r>
              <w:rPr>
                <w:rFonts w:hint="eastAsia"/>
              </w:rPr>
              <w:t>徐州市民卡公司</w:t>
            </w:r>
          </w:p>
        </w:tc>
        <w:tc>
          <w:tcPr>
            <w:tcW w:w="2767" w:type="dxa"/>
          </w:tcPr>
          <w:p>
            <w:r>
              <w:rPr>
                <w:rFonts w:hint="eastAsia"/>
              </w:rPr>
              <w:t>803000</w:t>
            </w:r>
          </w:p>
        </w:tc>
        <w:tc>
          <w:tcPr>
            <w:tcW w:w="2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/>
        </w:tc>
        <w:tc>
          <w:tcPr>
            <w:tcW w:w="2767" w:type="dxa"/>
          </w:tcPr>
          <w:p/>
        </w:tc>
        <w:tc>
          <w:tcPr>
            <w:tcW w:w="2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/>
        </w:tc>
        <w:tc>
          <w:tcPr>
            <w:tcW w:w="2767" w:type="dxa"/>
          </w:tcPr>
          <w:p/>
        </w:tc>
        <w:tc>
          <w:tcPr>
            <w:tcW w:w="2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/>
        </w:tc>
        <w:tc>
          <w:tcPr>
            <w:tcW w:w="2767" w:type="dxa"/>
          </w:tcPr>
          <w:p/>
        </w:tc>
        <w:tc>
          <w:tcPr>
            <w:tcW w:w="2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/>
        </w:tc>
        <w:tc>
          <w:tcPr>
            <w:tcW w:w="2767" w:type="dxa"/>
          </w:tcPr>
          <w:p/>
        </w:tc>
        <w:tc>
          <w:tcPr>
            <w:tcW w:w="2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/>
        </w:tc>
        <w:tc>
          <w:tcPr>
            <w:tcW w:w="2767" w:type="dxa"/>
          </w:tcPr>
          <w:p/>
        </w:tc>
        <w:tc>
          <w:tcPr>
            <w:tcW w:w="2768" w:type="dxa"/>
          </w:tcPr>
          <w:p/>
        </w:tc>
      </w:tr>
    </w:tbl>
    <w:p/>
    <w:sectPr>
      <w:pgSz w:w="11906" w:h="16838"/>
      <w:pgMar w:top="1111" w:right="1797" w:bottom="1440" w:left="1797" w:header="851" w:footer="499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41B"/>
    <w:multiLevelType w:val="multilevel"/>
    <w:tmpl w:val="15C2641B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60166"/>
    <w:multiLevelType w:val="multilevel"/>
    <w:tmpl w:val="1C360166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3F7E43"/>
    <w:multiLevelType w:val="multilevel"/>
    <w:tmpl w:val="1F3F7E43"/>
    <w:lvl w:ilvl="0" w:tentative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D8246D3"/>
    <w:multiLevelType w:val="multilevel"/>
    <w:tmpl w:val="4D8246D3"/>
    <w:lvl w:ilvl="0" w:tentative="0">
      <w:start w:val="1"/>
      <w:numFmt w:val="none"/>
      <w:pStyle w:val="2"/>
      <w:lvlText w:val="4.2.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4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4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77"/>
    <w:rsid w:val="00056DAF"/>
    <w:rsid w:val="00066720"/>
    <w:rsid w:val="000725EA"/>
    <w:rsid w:val="0007604B"/>
    <w:rsid w:val="00094077"/>
    <w:rsid w:val="000B0D4C"/>
    <w:rsid w:val="000E3424"/>
    <w:rsid w:val="000F1E2E"/>
    <w:rsid w:val="00111D49"/>
    <w:rsid w:val="00127E59"/>
    <w:rsid w:val="001336AA"/>
    <w:rsid w:val="00140605"/>
    <w:rsid w:val="00195CDA"/>
    <w:rsid w:val="001D37BF"/>
    <w:rsid w:val="002043D9"/>
    <w:rsid w:val="00215645"/>
    <w:rsid w:val="00230D0C"/>
    <w:rsid w:val="00244B4F"/>
    <w:rsid w:val="0025716F"/>
    <w:rsid w:val="00263477"/>
    <w:rsid w:val="002943D8"/>
    <w:rsid w:val="002A29FD"/>
    <w:rsid w:val="002C257B"/>
    <w:rsid w:val="002C3666"/>
    <w:rsid w:val="002C3BBA"/>
    <w:rsid w:val="002E3080"/>
    <w:rsid w:val="0031197B"/>
    <w:rsid w:val="0031491B"/>
    <w:rsid w:val="00315200"/>
    <w:rsid w:val="00324A44"/>
    <w:rsid w:val="00343283"/>
    <w:rsid w:val="003548E5"/>
    <w:rsid w:val="0035625E"/>
    <w:rsid w:val="00383469"/>
    <w:rsid w:val="00391DCD"/>
    <w:rsid w:val="003C5399"/>
    <w:rsid w:val="003C6C9F"/>
    <w:rsid w:val="003D29C0"/>
    <w:rsid w:val="003E78D6"/>
    <w:rsid w:val="0041006D"/>
    <w:rsid w:val="0042095B"/>
    <w:rsid w:val="004325CB"/>
    <w:rsid w:val="00442368"/>
    <w:rsid w:val="0044320A"/>
    <w:rsid w:val="00470C87"/>
    <w:rsid w:val="00470F98"/>
    <w:rsid w:val="00476903"/>
    <w:rsid w:val="004F302C"/>
    <w:rsid w:val="004F574A"/>
    <w:rsid w:val="00575C16"/>
    <w:rsid w:val="00580FD6"/>
    <w:rsid w:val="0058446F"/>
    <w:rsid w:val="00590034"/>
    <w:rsid w:val="00592C8C"/>
    <w:rsid w:val="005A0076"/>
    <w:rsid w:val="005F73B8"/>
    <w:rsid w:val="00626731"/>
    <w:rsid w:val="00630ACD"/>
    <w:rsid w:val="00655514"/>
    <w:rsid w:val="00663031"/>
    <w:rsid w:val="00673F2B"/>
    <w:rsid w:val="00683F64"/>
    <w:rsid w:val="006A37B4"/>
    <w:rsid w:val="006A76DF"/>
    <w:rsid w:val="006B3E30"/>
    <w:rsid w:val="006C02D0"/>
    <w:rsid w:val="006D2DA8"/>
    <w:rsid w:val="0070484B"/>
    <w:rsid w:val="0072349A"/>
    <w:rsid w:val="007505F6"/>
    <w:rsid w:val="00790D67"/>
    <w:rsid w:val="007A463D"/>
    <w:rsid w:val="007C4847"/>
    <w:rsid w:val="007E10A0"/>
    <w:rsid w:val="007E2407"/>
    <w:rsid w:val="007F3CF3"/>
    <w:rsid w:val="00804EC6"/>
    <w:rsid w:val="008208D2"/>
    <w:rsid w:val="00830659"/>
    <w:rsid w:val="00834F85"/>
    <w:rsid w:val="008352B1"/>
    <w:rsid w:val="00856D6F"/>
    <w:rsid w:val="00857B35"/>
    <w:rsid w:val="00876B1E"/>
    <w:rsid w:val="0089532B"/>
    <w:rsid w:val="008A3307"/>
    <w:rsid w:val="008C5F35"/>
    <w:rsid w:val="008D09C3"/>
    <w:rsid w:val="008D3064"/>
    <w:rsid w:val="008D4C12"/>
    <w:rsid w:val="008E31E6"/>
    <w:rsid w:val="008E4E43"/>
    <w:rsid w:val="00902DE2"/>
    <w:rsid w:val="0090509B"/>
    <w:rsid w:val="0092514E"/>
    <w:rsid w:val="00937850"/>
    <w:rsid w:val="00981C4D"/>
    <w:rsid w:val="009E4043"/>
    <w:rsid w:val="009E4A34"/>
    <w:rsid w:val="009E4D6F"/>
    <w:rsid w:val="00A32EB3"/>
    <w:rsid w:val="00A44DB6"/>
    <w:rsid w:val="00A52586"/>
    <w:rsid w:val="00A52BAF"/>
    <w:rsid w:val="00A5584B"/>
    <w:rsid w:val="00A56982"/>
    <w:rsid w:val="00A71DFB"/>
    <w:rsid w:val="00A770C4"/>
    <w:rsid w:val="00A9615A"/>
    <w:rsid w:val="00AB7C32"/>
    <w:rsid w:val="00AD0945"/>
    <w:rsid w:val="00AD63DE"/>
    <w:rsid w:val="00B230F7"/>
    <w:rsid w:val="00B25191"/>
    <w:rsid w:val="00B27B80"/>
    <w:rsid w:val="00B66264"/>
    <w:rsid w:val="00B83545"/>
    <w:rsid w:val="00B9138F"/>
    <w:rsid w:val="00B9287C"/>
    <w:rsid w:val="00B9595E"/>
    <w:rsid w:val="00BC4518"/>
    <w:rsid w:val="00BE69D8"/>
    <w:rsid w:val="00C11054"/>
    <w:rsid w:val="00C5644F"/>
    <w:rsid w:val="00C95F6A"/>
    <w:rsid w:val="00CA36C5"/>
    <w:rsid w:val="00CA5B89"/>
    <w:rsid w:val="00CC228E"/>
    <w:rsid w:val="00CC3F77"/>
    <w:rsid w:val="00CE304F"/>
    <w:rsid w:val="00D22D2B"/>
    <w:rsid w:val="00D56494"/>
    <w:rsid w:val="00D61B5B"/>
    <w:rsid w:val="00D67662"/>
    <w:rsid w:val="00D91F4F"/>
    <w:rsid w:val="00DC0B63"/>
    <w:rsid w:val="00DF3D4F"/>
    <w:rsid w:val="00E20206"/>
    <w:rsid w:val="00E211A3"/>
    <w:rsid w:val="00E30D23"/>
    <w:rsid w:val="00E40825"/>
    <w:rsid w:val="00E419F7"/>
    <w:rsid w:val="00E435C4"/>
    <w:rsid w:val="00E66ABE"/>
    <w:rsid w:val="00E8479D"/>
    <w:rsid w:val="00E91FD9"/>
    <w:rsid w:val="00E96010"/>
    <w:rsid w:val="00E96F5A"/>
    <w:rsid w:val="00EB0315"/>
    <w:rsid w:val="00EC1653"/>
    <w:rsid w:val="00EC64CF"/>
    <w:rsid w:val="00ED1B08"/>
    <w:rsid w:val="00EF165A"/>
    <w:rsid w:val="00F05DE4"/>
    <w:rsid w:val="00F206D8"/>
    <w:rsid w:val="00F22158"/>
    <w:rsid w:val="00F34C9E"/>
    <w:rsid w:val="00F44F4F"/>
    <w:rsid w:val="00FE0A32"/>
    <w:rsid w:val="00FE5B13"/>
    <w:rsid w:val="00FF1B7D"/>
    <w:rsid w:val="5745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1"/>
    <w:unhideWhenUsed/>
    <w:uiPriority w:val="99"/>
    <w:rPr>
      <w:b/>
      <w:bCs/>
    </w:rPr>
  </w:style>
  <w:style w:type="paragraph" w:styleId="12">
    <w:name w:val="annotation text"/>
    <w:basedOn w:val="1"/>
    <w:link w:val="30"/>
    <w:unhideWhenUsed/>
    <w:uiPriority w:val="99"/>
    <w:pPr>
      <w:jc w:val="left"/>
    </w:pPr>
  </w:style>
  <w:style w:type="paragraph" w:styleId="13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4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annotation reference"/>
    <w:basedOn w:val="15"/>
    <w:unhideWhenUsed/>
    <w:qFormat/>
    <w:uiPriority w:val="99"/>
    <w:rPr>
      <w:sz w:val="21"/>
      <w:szCs w:val="21"/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Heading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Title Char"/>
    <w:basedOn w:val="15"/>
    <w:link w:val="1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Heading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Heading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Heading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Heading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Heading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Heading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Heading 9 Char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Comment Text Char"/>
    <w:basedOn w:val="15"/>
    <w:link w:val="12"/>
    <w:semiHidden/>
    <w:qFormat/>
    <w:uiPriority w:val="99"/>
  </w:style>
  <w:style w:type="character" w:customStyle="1" w:styleId="31">
    <w:name w:val="Comment Subject Char"/>
    <w:basedOn w:val="30"/>
    <w:link w:val="11"/>
    <w:semiHidden/>
    <w:uiPriority w:val="99"/>
    <w:rPr>
      <w:b/>
      <w:bCs/>
    </w:rPr>
  </w:style>
  <w:style w:type="character" w:customStyle="1" w:styleId="32">
    <w:name w:val="Balloon Text Char"/>
    <w:basedOn w:val="15"/>
    <w:link w:val="13"/>
    <w:semiHidden/>
    <w:qFormat/>
    <w:uiPriority w:val="99"/>
    <w:rPr>
      <w:sz w:val="18"/>
      <w:szCs w:val="18"/>
    </w:rPr>
  </w:style>
  <w:style w:type="character" w:customStyle="1" w:styleId="33">
    <w:name w:val="Subtle Reference"/>
    <w:basedOn w:val="15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466</Words>
  <Characters>2659</Characters>
  <Lines>22</Lines>
  <Paragraphs>6</Paragraphs>
  <TotalTime>0</TotalTime>
  <ScaleCrop>false</ScaleCrop>
  <LinksUpToDate>false</LinksUpToDate>
  <CharactersWithSpaces>3119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2017-05-24T11:29:00Z</dcterms:created>
  <dc:creator>Xavier Neoh</dc:creator>
  <cp:lastModifiedBy>Administrator</cp:lastModifiedBy>
  <dcterms:modified xsi:type="dcterms:W3CDTF">2017-08-10T12:57:54Z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