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灰线软件著作权登记填报资料</w:t>
      </w:r>
    </w:p>
    <w:p>
      <w:r>
        <w:t>本文件是填报资料草稿和办理清单，不是中国版权保护中心生成的正式申请表或签章页。名称与版本暂沿用现有材料，待申请人确认。著作权人、真实开发完成日期、发表及权属信息未核实前不能提交。</w:t>
      </w:r>
    </w:p>
    <w:p>
      <w:pPr>
        <w:pStyle w:val="Heading1"/>
      </w:pPr>
      <w:r>
        <w:t>1 可直接核对的软件资料</w:t>
      </w:r>
    </w:p>
    <w:tbl>
      <w:tblPr>
        <w:tblStyle w:val="TableGrid"/>
        <w:tblW w:type="auto" w:w="0"/>
        <w:tblLook w:firstColumn="1" w:firstRow="1" w:lastColumn="0" w:lastRow="0" w:noHBand="0" w:noVBand="1" w:val="04A0"/>
      </w:tblPr>
      <w:tblGrid>
        <w:gridCol w:w="4946"/>
        <w:gridCol w:w="4946"/>
      </w:tblGrid>
      <w:tr>
        <w:trPr>
          <w:cantSplit/>
        </w:trPr>
        <w:tc>
          <w:tcPr>
            <w:tcW w:type="dxa" w:w="2088"/>
          </w:tcPr>
          <w:p>
            <w:pPr>
              <w:spacing w:after="80" w:before="60"/>
            </w:pPr>
            <w:r>
              <w:rPr>
                <w:sz w:val="20"/>
              </w:rPr>
              <w:t>软件全称</w:t>
            </w:r>
          </w:p>
        </w:tc>
        <w:tc>
          <w:tcPr>
            <w:tcW w:type="dxa" w:w="7560"/>
          </w:tcPr>
          <w:p>
            <w:pPr>
              <w:spacing w:after="80" w:before="60"/>
            </w:pPr>
            <w:r>
              <w:rPr>
                <w:sz w:val="20"/>
              </w:rPr>
              <w:t>灰线像素前线游戏软件</w:t>
            </w:r>
          </w:p>
        </w:tc>
      </w:tr>
      <w:tr>
        <w:trPr>
          <w:cantSplit/>
        </w:trPr>
        <w:tc>
          <w:tcPr>
            <w:tcW w:type="dxa" w:w="2088"/>
          </w:tcPr>
          <w:p>
            <w:pPr>
              <w:spacing w:after="80" w:before="60"/>
            </w:pPr>
            <w:r>
              <w:rPr>
                <w:sz w:val="20"/>
              </w:rPr>
              <w:t>软件简称</w:t>
            </w:r>
          </w:p>
        </w:tc>
        <w:tc>
          <w:tcPr>
            <w:tcW w:type="dxa" w:w="7560"/>
          </w:tcPr>
          <w:p>
            <w:pPr>
              <w:spacing w:after="80" w:before="60"/>
            </w:pPr>
            <w:r>
              <w:rPr>
                <w:sz w:val="20"/>
              </w:rPr>
              <w:t>像素前线</w:t>
            </w:r>
          </w:p>
        </w:tc>
      </w:tr>
      <w:tr>
        <w:trPr>
          <w:cantSplit/>
        </w:trPr>
        <w:tc>
          <w:tcPr>
            <w:tcW w:type="dxa" w:w="2088"/>
          </w:tcPr>
          <w:p>
            <w:pPr>
              <w:spacing w:after="80" w:before="60"/>
            </w:pPr>
            <w:r>
              <w:rPr>
                <w:sz w:val="20"/>
              </w:rPr>
              <w:t>版本号</w:t>
            </w:r>
          </w:p>
        </w:tc>
        <w:tc>
          <w:tcPr>
            <w:tcW w:type="dxa" w:w="7560"/>
          </w:tcPr>
          <w:p>
            <w:pPr>
              <w:spacing w:after="80" w:before="60"/>
            </w:pPr>
            <w:r>
              <w:rPr>
                <w:sz w:val="20"/>
              </w:rPr>
              <w:t>V1.0</w:t>
            </w:r>
          </w:p>
        </w:tc>
      </w:tr>
      <w:tr>
        <w:trPr>
          <w:cantSplit/>
        </w:trPr>
        <w:tc>
          <w:tcPr>
            <w:tcW w:type="dxa" w:w="2088"/>
          </w:tcPr>
          <w:p>
            <w:pPr>
              <w:spacing w:after="80" w:before="60"/>
            </w:pPr>
            <w:r>
              <w:rPr>
                <w:sz w:val="20"/>
              </w:rPr>
              <w:t>软件类型</w:t>
            </w:r>
          </w:p>
        </w:tc>
        <w:tc>
          <w:tcPr>
            <w:tcW w:type="dxa" w:w="7560"/>
          </w:tcPr>
          <w:p>
            <w:pPr>
              <w:spacing w:after="80" w:before="60"/>
            </w:pPr>
            <w:r>
              <w:rPr>
                <w:sz w:val="20"/>
              </w:rPr>
              <w:t>游戏软件</w:t>
            </w:r>
          </w:p>
        </w:tc>
      </w:tr>
      <w:tr>
        <w:trPr>
          <w:cantSplit/>
        </w:trPr>
        <w:tc>
          <w:tcPr>
            <w:tcW w:type="dxa" w:w="2088"/>
          </w:tcPr>
          <w:p>
            <w:pPr>
              <w:spacing w:after="80" w:before="60"/>
            </w:pPr>
            <w:r>
              <w:rPr>
                <w:sz w:val="20"/>
              </w:rPr>
              <w:t>编程语言</w:t>
            </w:r>
          </w:p>
        </w:tc>
        <w:tc>
          <w:tcPr>
            <w:tcW w:type="dxa" w:w="7560"/>
          </w:tcPr>
          <w:p>
            <w:pPr>
              <w:spacing w:after="80" w:before="60"/>
            </w:pPr>
            <w:r>
              <w:rPr>
                <w:sz w:val="20"/>
              </w:rPr>
              <w:t>TypeScript 含TSX界面文件</w:t>
            </w:r>
          </w:p>
        </w:tc>
      </w:tr>
      <w:tr>
        <w:trPr>
          <w:cantSplit/>
        </w:trPr>
        <w:tc>
          <w:tcPr>
            <w:tcW w:type="dxa" w:w="2088"/>
          </w:tcPr>
          <w:p>
            <w:pPr>
              <w:spacing w:after="80" w:before="60"/>
            </w:pPr>
            <w:r>
              <w:rPr>
                <w:sz w:val="20"/>
              </w:rPr>
              <w:t>源程序量</w:t>
            </w:r>
          </w:p>
        </w:tc>
        <w:tc>
          <w:tcPr>
            <w:tcW w:type="dxa" w:w="7560"/>
          </w:tcPr>
          <w:p>
            <w:pPr>
              <w:spacing w:after="80" w:before="60"/>
            </w:pPr>
            <w:r>
              <w:rPr>
                <w:sz w:val="20"/>
              </w:rPr>
              <w:t>48578个非空源程序行，177个入口依赖文件。仅统计本项目已冻结的网页与小游戏逻辑，不计第三方库、生成图片数据和构建产物。</w:t>
            </w:r>
          </w:p>
        </w:tc>
      </w:tr>
      <w:tr>
        <w:trPr>
          <w:cantSplit/>
        </w:trPr>
        <w:tc>
          <w:tcPr>
            <w:tcW w:type="dxa" w:w="2088"/>
          </w:tcPr>
          <w:p>
            <w:pPr>
              <w:spacing w:after="80" w:before="60"/>
            </w:pPr>
            <w:r>
              <w:rPr>
                <w:sz w:val="20"/>
              </w:rPr>
              <w:t>软件主要功能</w:t>
            </w:r>
          </w:p>
        </w:tc>
        <w:tc>
          <w:tcPr>
            <w:tcW w:type="dxa" w:w="7560"/>
          </w:tcPr>
          <w:p>
            <w:pPr>
              <w:spacing w:after="80" w:before="60"/>
            </w:pPr>
            <w:r>
              <w:rPr>
                <w:sz w:val="20"/>
              </w:rPr>
              <w:t>提供像素即时策略对局、25张卡组编配、四幕二十关战役、卡牌收藏、游戏内金币卡包、战争迷雾、部队协同及有限补给，支持本地保存与声音设置。</w:t>
            </w:r>
          </w:p>
        </w:tc>
      </w:tr>
      <w:tr>
        <w:trPr>
          <w:cantSplit/>
        </w:trPr>
        <w:tc>
          <w:tcPr>
            <w:tcW w:type="dxa" w:w="2088"/>
          </w:tcPr>
          <w:p>
            <w:pPr>
              <w:spacing w:after="80" w:before="60"/>
            </w:pPr>
            <w:r>
              <w:rPr>
                <w:sz w:val="20"/>
              </w:rPr>
              <w:t>开发目的</w:t>
            </w:r>
          </w:p>
        </w:tc>
        <w:tc>
          <w:tcPr>
            <w:tcW w:type="dxa" w:w="7560"/>
          </w:tcPr>
          <w:p>
            <w:pPr>
              <w:spacing w:after="80" w:before="60"/>
            </w:pPr>
            <w:r>
              <w:rPr>
                <w:sz w:val="20"/>
              </w:rPr>
              <w:t>实现面向电脑与移动设备的单人即时策略卡牌游戏，支持玩家编队并与计算机对手对战。</w:t>
            </w:r>
          </w:p>
        </w:tc>
      </w:tr>
      <w:tr>
        <w:trPr>
          <w:cantSplit/>
        </w:trPr>
        <w:tc>
          <w:tcPr>
            <w:tcW w:type="dxa" w:w="2088"/>
          </w:tcPr>
          <w:p>
            <w:pPr>
              <w:spacing w:after="80" w:before="60"/>
            </w:pPr>
            <w:r>
              <w:rPr>
                <w:sz w:val="20"/>
              </w:rPr>
              <w:t>技术特点</w:t>
            </w:r>
          </w:p>
        </w:tc>
        <w:tc>
          <w:tcPr>
            <w:tcW w:type="dxa" w:w="7560"/>
          </w:tcPr>
          <w:p>
            <w:pPr>
              <w:spacing w:after="80" w:before="60"/>
            </w:pPr>
            <w:r>
              <w:rPr>
                <w:sz w:val="20"/>
              </w:rPr>
              <w:t>TypeScript共享游戏规则，React网页界面与Canvas战场绘制，小游戏平台适配，本地存档、像素动画及分模块资源加载。</w:t>
            </w:r>
          </w:p>
        </w:tc>
      </w:tr>
    </w:tbl>
    <w:p>
      <w:r>
        <w:br w:type="page"/>
      </w:r>
    </w:p>
    <w:p>
      <w:pPr>
        <w:pStyle w:val="Heading1"/>
      </w:pPr>
      <w:r>
        <w:t>2 开发与运行信息</w:t>
      </w:r>
    </w:p>
    <w:tbl>
      <w:tblPr>
        <w:tblStyle w:val="TableGrid"/>
        <w:tblW w:type="auto" w:w="0"/>
        <w:tblLook w:firstColumn="1" w:firstRow="1" w:lastColumn="0" w:lastRow="0" w:noHBand="0" w:noVBand="1" w:val="04A0"/>
      </w:tblPr>
      <w:tblGrid>
        <w:gridCol w:w="4946"/>
        <w:gridCol w:w="4946"/>
      </w:tblGrid>
      <w:tr>
        <w:trPr>
          <w:cantSplit/>
        </w:trPr>
        <w:tc>
          <w:tcPr>
            <w:tcW w:type="dxa" w:w="2088"/>
          </w:tcPr>
          <w:p>
            <w:pPr>
              <w:spacing w:after="80" w:before="60"/>
            </w:pPr>
            <w:r>
              <w:rPr>
                <w:sz w:val="20"/>
              </w:rPr>
              <w:t>开发硬件环境</w:t>
            </w:r>
          </w:p>
        </w:tc>
        <w:tc>
          <w:tcPr>
            <w:tcW w:type="dxa" w:w="7560"/>
          </w:tcPr>
          <w:p>
            <w:pPr>
              <w:spacing w:after="80" w:before="60"/>
            </w:pPr>
            <w:r>
              <w:rPr>
                <w:sz w:val="20"/>
              </w:rPr>
              <w:t>待申请人填写实际开发设备、处理器与内存；不以当前整理材料的机器替代开发事实。</w:t>
            </w:r>
          </w:p>
        </w:tc>
      </w:tr>
      <w:tr>
        <w:trPr>
          <w:cantSplit/>
        </w:trPr>
        <w:tc>
          <w:tcPr>
            <w:tcW w:type="dxa" w:w="2088"/>
          </w:tcPr>
          <w:p>
            <w:pPr>
              <w:spacing w:after="80" w:before="60"/>
            </w:pPr>
            <w:r>
              <w:rPr>
                <w:sz w:val="20"/>
              </w:rPr>
              <w:t>开发操作系统</w:t>
            </w:r>
          </w:p>
        </w:tc>
        <w:tc>
          <w:tcPr>
            <w:tcW w:type="dxa" w:w="7560"/>
          </w:tcPr>
          <w:p>
            <w:pPr>
              <w:spacing w:after="80" w:before="60"/>
            </w:pPr>
            <w:r>
              <w:rPr>
                <w:sz w:val="20"/>
              </w:rPr>
              <w:t>待申请人确认实际开发环境。</w:t>
            </w:r>
          </w:p>
        </w:tc>
      </w:tr>
      <w:tr>
        <w:trPr>
          <w:cantSplit/>
        </w:trPr>
        <w:tc>
          <w:tcPr>
            <w:tcW w:type="dxa" w:w="2088"/>
          </w:tcPr>
          <w:p>
            <w:pPr>
              <w:spacing w:after="80" w:before="60"/>
            </w:pPr>
            <w:r>
              <w:rPr>
                <w:sz w:val="20"/>
              </w:rPr>
              <w:t>开发工具</w:t>
            </w:r>
          </w:p>
        </w:tc>
        <w:tc>
          <w:tcPr>
            <w:tcW w:type="dxa" w:w="7560"/>
          </w:tcPr>
          <w:p>
            <w:pPr>
              <w:spacing w:after="80" w:before="60"/>
            </w:pPr>
            <w:r>
              <w:rPr>
                <w:sz w:val="20"/>
              </w:rPr>
              <w:t>项目可确认：TypeScript、Vite、React。实际使用的编辑器由申请人确认。</w:t>
            </w:r>
          </w:p>
        </w:tc>
      </w:tr>
      <w:tr>
        <w:trPr>
          <w:cantSplit/>
        </w:trPr>
        <w:tc>
          <w:tcPr>
            <w:tcW w:type="dxa" w:w="2088"/>
          </w:tcPr>
          <w:p>
            <w:pPr>
              <w:spacing w:after="80" w:before="60"/>
            </w:pPr>
            <w:r>
              <w:rPr>
                <w:sz w:val="20"/>
              </w:rPr>
              <w:t>运行硬件环境</w:t>
            </w:r>
          </w:p>
        </w:tc>
        <w:tc>
          <w:tcPr>
            <w:tcW w:type="dxa" w:w="7560"/>
          </w:tcPr>
          <w:p>
            <w:pPr>
              <w:spacing w:after="80" w:before="60"/>
            </w:pPr>
            <w:r>
              <w:rPr>
                <w:sz w:val="20"/>
              </w:rPr>
              <w:t>支持图形界面、浏览器与触控或鼠标键盘输入的电脑或智能手机；具体最低硬件规格未测定。</w:t>
            </w:r>
          </w:p>
        </w:tc>
      </w:tr>
      <w:tr>
        <w:trPr>
          <w:cantSplit/>
        </w:trPr>
        <w:tc>
          <w:tcPr>
            <w:tcW w:type="dxa" w:w="2088"/>
          </w:tcPr>
          <w:p>
            <w:pPr>
              <w:spacing w:after="80" w:before="60"/>
            </w:pPr>
            <w:r>
              <w:rPr>
                <w:sz w:val="20"/>
              </w:rPr>
              <w:t>运行软件环境</w:t>
            </w:r>
          </w:p>
        </w:tc>
        <w:tc>
          <w:tcPr>
            <w:tcW w:type="dxa" w:w="7560"/>
          </w:tcPr>
          <w:p>
            <w:pPr>
              <w:spacing w:after="80" w:before="60"/>
            </w:pPr>
            <w:r>
              <w:rPr>
                <w:sz w:val="20"/>
              </w:rPr>
              <w:t>网页端：支持JavaScript、Canvas、本地存储的现代浏览器。小游戏端：抖音小游戏接口适配工程，真实平台应用标识和实机联调尚待完成。</w:t>
            </w:r>
          </w:p>
        </w:tc>
      </w:tr>
      <w:tr>
        <w:trPr>
          <w:cantSplit/>
        </w:trPr>
        <w:tc>
          <w:tcPr>
            <w:tcW w:type="dxa" w:w="2088"/>
          </w:tcPr>
          <w:p>
            <w:pPr>
              <w:spacing w:after="80" w:before="60"/>
            </w:pPr>
            <w:r>
              <w:rPr>
                <w:sz w:val="20"/>
              </w:rPr>
              <w:t>对应源码构建</w:t>
            </w:r>
          </w:p>
        </w:tc>
        <w:tc>
          <w:tcPr>
            <w:tcW w:type="dxa" w:w="7560"/>
          </w:tcPr>
          <w:p>
            <w:pPr>
              <w:spacing w:after="80" w:before="60"/>
            </w:pPr>
            <w:r>
              <w:rPr>
                <w:sz w:val="20"/>
              </w:rPr>
              <w:t>v235 稳定提交 67c4c4b6a4b4eadb09fe8e85db30ae0013b269e3；不包含当前工作区尚未提交的战斗修复。</w:t>
            </w:r>
          </w:p>
        </w:tc>
      </w:tr>
    </w:tbl>
    <w:p>
      <w:pPr>
        <w:pStyle w:val="Heading1"/>
      </w:pPr>
      <w:r>
        <w:t>3 必须由申请人提供的真实信息</w:t>
      </w:r>
    </w:p>
    <w:tbl>
      <w:tblPr>
        <w:tblStyle w:val="TableGrid"/>
        <w:tblW w:type="auto" w:w="0"/>
        <w:tblLook w:firstColumn="1" w:firstRow="1" w:lastColumn="0" w:lastRow="0" w:noHBand="0" w:noVBand="1" w:val="04A0"/>
      </w:tblPr>
      <w:tblGrid>
        <w:gridCol w:w="4946"/>
        <w:gridCol w:w="4946"/>
      </w:tblGrid>
      <w:tr>
        <w:trPr>
          <w:cantSplit/>
        </w:trPr>
        <w:tc>
          <w:tcPr>
            <w:tcW w:type="dxa" w:w="2088"/>
          </w:tcPr>
          <w:p>
            <w:pPr>
              <w:spacing w:after="80" w:before="60"/>
            </w:pPr>
            <w:r>
              <w:rPr>
                <w:sz w:val="20"/>
              </w:rPr>
              <w:t>主体类型与全称</w:t>
            </w:r>
          </w:p>
        </w:tc>
        <w:tc>
          <w:tcPr>
            <w:tcW w:type="dxa" w:w="7560"/>
          </w:tcPr>
          <w:p>
            <w:pPr>
              <w:spacing w:after="80" w:before="60"/>
            </w:pPr>
            <w:r>
              <w:rPr>
                <w:sz w:val="20"/>
              </w:rPr>
              <w:t>待填：个人姓名或公司全称，须与实名认证及证件一致。</w:t>
            </w:r>
          </w:p>
        </w:tc>
      </w:tr>
      <w:tr>
        <w:trPr>
          <w:cantSplit/>
        </w:trPr>
        <w:tc>
          <w:tcPr>
            <w:tcW w:type="dxa" w:w="2088"/>
          </w:tcPr>
          <w:p>
            <w:pPr>
              <w:spacing w:after="80" w:before="60"/>
            </w:pPr>
            <w:r>
              <w:rPr>
                <w:sz w:val="20"/>
              </w:rPr>
              <w:t>开发完成日期</w:t>
            </w:r>
          </w:p>
        </w:tc>
        <w:tc>
          <w:tcPr>
            <w:tcW w:type="dxa" w:w="7560"/>
          </w:tcPr>
          <w:p>
            <w:pPr>
              <w:spacing w:after="80" w:before="60"/>
            </w:pPr>
            <w:r>
              <w:rPr>
                <w:sz w:val="20"/>
              </w:rPr>
              <w:t>待填：本次申请版本实际开发完成日期。整理材料日期不是开发完成日期。</w:t>
            </w:r>
          </w:p>
        </w:tc>
      </w:tr>
      <w:tr>
        <w:trPr>
          <w:cantSplit/>
        </w:trPr>
        <w:tc>
          <w:tcPr>
            <w:tcW w:type="dxa" w:w="2088"/>
          </w:tcPr>
          <w:p>
            <w:pPr>
              <w:spacing w:after="80" w:before="60"/>
            </w:pPr>
            <w:r>
              <w:rPr>
                <w:sz w:val="20"/>
              </w:rPr>
              <w:t>发表情况</w:t>
            </w:r>
          </w:p>
        </w:tc>
        <w:tc>
          <w:tcPr>
            <w:tcW w:type="dxa" w:w="7560"/>
          </w:tcPr>
          <w:p>
            <w:pPr>
              <w:spacing w:after="80" w:before="60"/>
            </w:pPr>
            <w:r>
              <w:rPr>
                <w:sz w:val="20"/>
              </w:rPr>
              <w:t>待填：是否已发表，以及首次公开日期、地点、方式。项目存在公开网页记录，未上架抖音不代表未发表。</w:t>
            </w:r>
          </w:p>
        </w:tc>
      </w:tr>
      <w:tr>
        <w:trPr>
          <w:cantSplit/>
        </w:trPr>
        <w:tc>
          <w:tcPr>
            <w:tcW w:type="dxa" w:w="2088"/>
          </w:tcPr>
          <w:p>
            <w:pPr>
              <w:spacing w:after="80" w:before="60"/>
            </w:pPr>
            <w:r>
              <w:rPr>
                <w:sz w:val="20"/>
              </w:rPr>
              <w:t>开发与权属关系</w:t>
            </w:r>
          </w:p>
        </w:tc>
        <w:tc>
          <w:tcPr>
            <w:tcW w:type="dxa" w:w="7560"/>
          </w:tcPr>
          <w:p>
            <w:pPr>
              <w:spacing w:after="80" w:before="60"/>
            </w:pPr>
            <w:r>
              <w:rPr>
                <w:sz w:val="20"/>
              </w:rPr>
              <w:t>待填：独立、合作、委托或职务开发事实；原始取得、受让等取得方式及拟申请权利范围。</w:t>
            </w:r>
          </w:p>
        </w:tc>
      </w:tr>
    </w:tbl>
    <w:p>
      <w:r>
        <w:br w:type="page"/>
      </w:r>
    </w:p>
    <w:p>
      <w:pPr>
        <w:pStyle w:val="Heading1"/>
      </w:pPr>
      <w:r>
        <w:t>4 证件与补充证明文件</w:t>
      </w:r>
    </w:p>
    <w:p>
      <w:r>
        <w:t>个人申请：按官方系统要求准备有效身份证明并完成个人实名认证。公司申请：准备营业执照等法人身份证明并完成机构实名认证。证件号码、证件图片及私人联系方式直接在官方系统填写或上传，不写入公开项目仓库。</w:t>
      </w:r>
    </w:p>
    <w:p>
      <w:r>
        <w:t>联系人、联系电话、邮箱、通信地址和邮编需由申请人核实。若存在合作开发、委托开发或项目任务书，准备真实合同、任务书或权属约定；受让、继承或经许可修改的软件，准备相应证明。没有该情形时不制作虚构协议。</w:t>
      </w:r>
    </w:p>
    <w:p>
      <w:r>
        <w:t>应核对是否属于职务开发、是否使用公司的开发任务和资源、是否有其他开发参与者及权属约定。不能仅凭由某人操作电脑就认定其拥有全部软件著作权。</w:t>
      </w:r>
    </w:p>
    <w:p>
      <w:pPr>
        <w:pStyle w:val="Heading1"/>
      </w:pPr>
      <w:r>
        <w:t>5 已整理的鉴别材料</w:t>
      </w:r>
    </w:p>
    <w:tbl>
      <w:tblPr>
        <w:tblStyle w:val="TableGrid"/>
        <w:tblW w:type="auto" w:w="0"/>
        <w:tblLook w:firstColumn="1" w:firstRow="1" w:lastColumn="0" w:lastRow="0" w:noHBand="0" w:noVBand="1" w:val="04A0"/>
      </w:tblPr>
      <w:tblGrid>
        <w:gridCol w:w="4946"/>
        <w:gridCol w:w="4946"/>
      </w:tblGrid>
      <w:tr>
        <w:trPr>
          <w:cantSplit/>
        </w:trPr>
        <w:tc>
          <w:tcPr>
            <w:tcW w:type="dxa" w:w="2088"/>
          </w:tcPr>
          <w:p>
            <w:pPr>
              <w:spacing w:after="80" w:before="60"/>
            </w:pPr>
            <w:r>
              <w:rPr>
                <w:sz w:val="20"/>
              </w:rPr>
              <w:t>源程序鉴别材料</w:t>
            </w:r>
          </w:p>
        </w:tc>
        <w:tc>
          <w:tcPr>
            <w:tcW w:type="dxa" w:w="7560"/>
          </w:tcPr>
          <w:p>
            <w:pPr>
              <w:spacing w:after="80" w:before="60"/>
            </w:pPr>
            <w:r>
              <w:rPr>
                <w:sz w:val="20"/>
              </w:rPr>
              <w:t>01-source-code.pdf；前后各连续30页，共60页，每页50个原始非空源代码行，长行仅作版面折行。页眉名称与版本一致，末页保留原程序末尾。</w:t>
            </w:r>
          </w:p>
        </w:tc>
      </w:tr>
      <w:tr>
        <w:trPr>
          <w:cantSplit/>
        </w:trPr>
        <w:tc>
          <w:tcPr>
            <w:tcW w:type="dxa" w:w="2088"/>
          </w:tcPr>
          <w:p>
            <w:pPr>
              <w:spacing w:after="80" w:before="60"/>
            </w:pPr>
            <w:r>
              <w:rPr>
                <w:sz w:val="20"/>
              </w:rPr>
              <w:t>用户操作说明书</w:t>
            </w:r>
          </w:p>
        </w:tc>
        <w:tc>
          <w:tcPr>
            <w:tcW w:type="dxa" w:w="7560"/>
          </w:tcPr>
          <w:p>
            <w:pPr>
              <w:spacing w:after="80" w:before="60"/>
            </w:pPr>
            <w:r>
              <w:rPr>
                <w:sz w:val="20"/>
              </w:rPr>
              <w:t>02-user-manual.pdf；提供真实网页截图及主要模块操作说明，整份提交。可编辑版本为02-user-manual.docx。</w:t>
            </w:r>
          </w:p>
        </w:tc>
      </w:tr>
      <w:tr>
        <w:trPr>
          <w:cantSplit/>
        </w:trPr>
        <w:tc>
          <w:tcPr>
            <w:tcW w:type="dxa" w:w="2088"/>
          </w:tcPr>
          <w:p>
            <w:pPr>
              <w:spacing w:after="80" w:before="60"/>
            </w:pPr>
            <w:r>
              <w:rPr>
                <w:sz w:val="20"/>
              </w:rPr>
              <w:t>填报资料</w:t>
            </w:r>
          </w:p>
        </w:tc>
        <w:tc>
          <w:tcPr>
            <w:tcW w:type="dxa" w:w="7560"/>
          </w:tcPr>
          <w:p>
            <w:pPr>
              <w:spacing w:after="80" w:before="60"/>
            </w:pPr>
            <w:r>
              <w:rPr>
                <w:sz w:val="20"/>
              </w:rPr>
              <w:t>03-application-and-checklist.pdf及可编辑Word文件；辅助填写，不替代官方申请表。</w:t>
            </w:r>
          </w:p>
        </w:tc>
      </w:tr>
      <w:tr>
        <w:trPr>
          <w:cantSplit/>
        </w:trPr>
        <w:tc>
          <w:tcPr>
            <w:tcW w:type="dxa" w:w="2088"/>
          </w:tcPr>
          <w:p>
            <w:pPr>
              <w:spacing w:after="80" w:before="60"/>
            </w:pPr>
            <w:r>
              <w:rPr>
                <w:sz w:val="20"/>
              </w:rPr>
              <w:t>追溯附件</w:t>
            </w:r>
          </w:p>
        </w:tc>
        <w:tc>
          <w:tcPr>
            <w:tcW w:type="dxa" w:w="7560"/>
          </w:tcPr>
          <w:p>
            <w:pPr>
              <w:spacing w:after="80" w:before="60"/>
            </w:pPr>
            <w:r>
              <w:rPr>
                <w:sz w:val="20"/>
              </w:rPr>
              <w:t>copyright-evidence.json、snapshot-manifest.json和source-code.txt，用于核对源码、页面与文件哈希，不作为默认上传附件。</w:t>
            </w:r>
          </w:p>
        </w:tc>
      </w:tr>
    </w:tbl>
    <w:p>
      <w:r>
        <w:br w:type="page"/>
      </w:r>
    </w:p>
    <w:p>
      <w:pPr>
        <w:pStyle w:val="Heading1"/>
      </w:pPr>
      <w:r>
        <w:t>6 第三方素材与权利说明</w:t>
      </w:r>
    </w:p>
    <w:p>
      <w:r>
        <w:t>源程序材料不打包node_modules、React等第三方库源码，不删除第三方许可声明来制造原创。源码内容来自稳定提交，不新增模拟函数来凑行数。</w:t>
      </w:r>
    </w:p>
    <w:p>
      <w:r>
        <w:t>项目内音频署名文件列有CC0音频，以及Michel Baradari的爆炸音效和jakobthiesen及AntumDeluge的循环飞行音频等CC BY 3.0素材。应保留作者、许可链接及修改说明。该清单依据项目现有署名，不构成对所有素材许可完整性的法律确认。</w:t>
      </w:r>
    </w:p>
    <w:p>
      <w:r>
        <w:t>项目包含Galmuri、Ark Pixel和Cubic 11字体许可文件。对应字体及第三方音频不申报为申请人自行创作的独占素材。</w:t>
      </w:r>
    </w:p>
    <w:p>
      <w:r>
        <w:t>部分像素精灵和卡牌插画通过生成工具制作。申请人应保留制作记录、使用条款与后续人工编辑记录；软件著作权登记材料不应顺带主张全部生成图像都已取得独占美术著作权。</w:t>
      </w:r>
    </w:p>
    <w:p>
      <w:r>
        <w:t>本次申请对象为软件程序及相应文档。游戏名称、商标、图像作品权属、出版或平台运营资质属于不同事项；本材料包不代表这些事项已获批准。</w:t>
      </w:r>
    </w:p>
    <w:p>
      <w:pPr>
        <w:pStyle w:val="Heading1"/>
      </w:pPr>
      <w:r>
        <w:t>7 官方办理顺序</w:t>
      </w:r>
    </w:p>
    <w:p>
      <w:r>
        <w:t>第一步：从中国版权保护中心官网进入软件登记，登录并完成主体实名认证。</w:t>
      </w:r>
    </w:p>
    <w:p>
      <w:r>
        <w:t>第二步：确认软件名称、版本、主体、完成日期、首次发表和权属关系，按本草稿录入真实信息。</w:t>
      </w:r>
    </w:p>
    <w:p>
      <w:r>
        <w:t>第三步：按系统要求上传源程序和说明书，以及适用的身份证明、合同或权属证明。单文件格式和大小限制以当次系统提示为准。</w:t>
      </w:r>
    </w:p>
    <w:p>
      <w:r>
        <w:t>第四步：由官方系统生成申请确认签章页，核对内容后由申请人真实签名或公司盖章，再上传扫描件。不要使用本草稿冒充正式表格，不制作或粘贴虚假签章。</w:t>
      </w:r>
    </w:p>
    <w:p>
      <w:r>
        <w:t>第五步：最终核对并提交，保存申请流水号和回执，关注受理或补正通知；收到补正后按通知要求处理。提交成功、正式受理和取得证书是不同状态。</w:t>
      </w:r>
    </w:p>
    <w:p>
      <w:r>
        <w:br w:type="page"/>
      </w:r>
    </w:p>
    <w:p>
      <w:pPr>
        <w:pStyle w:val="Heading1"/>
      </w:pPr>
      <w:r>
        <w:t>8 依据与当前办理状态</w:t>
      </w:r>
    </w:p>
    <w:p>
      <w:r>
        <w:t>《计算机软件著作权登记办法》第九至十一条规定申请材料、程序与文档鉴别材料以及身份证明等要求。一般交存为程序和一种文档的前后各连续30页；不足60页时提交全部，除特定情况外程序每页不少于50行、文档每页不少于30行。含图文档版式还应遵从登记系统的具体提示。</w:t>
      </w:r>
    </w:p>
    <w:p>
      <w:r>
        <w:t>中国版权保护中心2023年网上办理通知说明，软件登记通过系统在线填报并上传申请文件，无需再邮寄新申请纸介质材料。材料审查可能要求补正。费用、文件限制和具体办理安排以当前官方系统为准。</w:t>
      </w:r>
    </w:p>
    <w:p>
      <w:r>
        <w:t>截至2026年10月14日，本材料包已完成独立于申请主体的准备。主体、名称版本、完成日期、发表及权属信息仍待申请人确认；未进行实名认证、未填写签章声明、未向官方系统上传或提交本次申请，尚无本次申请流水号或登记证书。</w:t>
      </w:r>
    </w:p>
    <w:p>
      <w:r>
        <w:t>本次采用已提交的v235作为稳定基线，未将工作区正在修改的战斗代码写入材料。若实际申报对象换成后续完成版本，应重新冻结对应源码与界面，并同步更新名称、版本、说明书、统计和鉴别材料。</w:t>
      </w:r>
    </w:p>
    <w:p>
      <w:pPr>
        <w:pStyle w:val="Heading2"/>
      </w:pPr>
      <w:r>
        <w:t>官方参考入口</w:t>
      </w:r>
    </w:p>
    <w:p>
      <w:r>
        <w:t>https://www.ncac.gov.cn/xxfb/flfg/bmgz/202410/t20241015_869486.html</w:t>
      </w:r>
    </w:p>
    <w:p>
      <w:r>
        <w:t>https://www.ccct.net.cn/html/bqzx/2023/0531/4368.html</w:t>
      </w:r>
    </w:p>
    <w:p>
      <w:r>
        <w:t>https://register.ccopyright.com.cn/registration.html#/registerSoft</w:t>
      </w:r>
    </w:p>
    <w:sectPr w:rsidR="00FC693F" w:rsidRPr="0006063C" w:rsidSect="00034616">
      <w:headerReference w:type="default" r:id="rId9"/>
      <w:footerReference w:type="default" r:id="rId10"/>
      <w:pgSz w:w="11909" w:h="16834"/>
      <w:pgMar w:top="936"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灰线像素前线游戏软件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144" w:val="left"/>
      </w:tabs>
      <w:spacing w:after="0"/>
    </w:pPr>
    <w:r>
      <w:t>灰线像素前线游戏软件 V1.0  申请填报资料与材料清单</w:t>
    </w:r>
    <w:r>
      <w:tab/>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Songti SC" w:hAnsi="Songti SC"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eiti SC" w:hAnsi="Heiti SC" w:eastAsia="Hei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eiti SC" w:hAnsi="Heiti SC" w:eastAsia="Hei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eiti SC" w:hAnsi="Heiti SC" w:eastAsia="Heiti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灰线像素前线游戏软件 V1.0 申请填报资料与材料清单</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