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4702" w:rsidRDefault="00496F79">
      <w:r>
        <w:t>Tipos de Unidades de Saúde da cidade de SP.</w:t>
      </w:r>
    </w:p>
    <w:p w:rsidR="00496F79" w:rsidRDefault="00496F79">
      <w:r>
        <w:rPr>
          <w:noProof/>
        </w:rPr>
        <w:drawing>
          <wp:inline distT="0" distB="0" distL="0" distR="0" wp14:anchorId="4B1BC23E" wp14:editId="6C3B8D8D">
            <wp:extent cx="5400040" cy="38442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844290"/>
                    </a:xfrm>
                    <a:prstGeom prst="rect">
                      <a:avLst/>
                    </a:prstGeom>
                  </pic:spPr>
                </pic:pic>
              </a:graphicData>
            </a:graphic>
          </wp:inline>
        </w:drawing>
      </w:r>
    </w:p>
    <w:p w:rsidR="00496F79" w:rsidRDefault="00496F79"/>
    <w:p w:rsidR="00496F79" w:rsidRDefault="00496F79">
      <w:pPr>
        <w:rPr>
          <w:rStyle w:val="Forte"/>
          <w:rFonts w:ascii="inherit" w:hAnsi="inherit"/>
          <w:color w:val="555555"/>
          <w:sz w:val="21"/>
          <w:szCs w:val="21"/>
          <w:bdr w:val="none" w:sz="0" w:space="0" w:color="auto" w:frame="1"/>
          <w:shd w:val="clear" w:color="auto" w:fill="FFFFFF"/>
        </w:rPr>
      </w:pPr>
      <w:r>
        <w:rPr>
          <w:rStyle w:val="Forte"/>
          <w:rFonts w:ascii="inherit" w:hAnsi="inherit"/>
          <w:color w:val="555555"/>
          <w:sz w:val="21"/>
          <w:szCs w:val="21"/>
          <w:bdr w:val="none" w:sz="0" w:space="0" w:color="auto" w:frame="1"/>
          <w:shd w:val="clear" w:color="auto" w:fill="FFFFFF"/>
        </w:rPr>
        <w:t>AE - Ambulatório de Especialidades</w:t>
      </w:r>
    </w:p>
    <w:p w:rsidR="00496F79" w:rsidRDefault="00496F79">
      <w:r>
        <w:rPr>
          <w:noProof/>
        </w:rPr>
        <w:drawing>
          <wp:inline distT="0" distB="0" distL="0" distR="0" wp14:anchorId="5D7744C2" wp14:editId="440A51BC">
            <wp:extent cx="5400040" cy="23145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14575"/>
                    </a:xfrm>
                    <a:prstGeom prst="rect">
                      <a:avLst/>
                    </a:prstGeom>
                  </pic:spPr>
                </pic:pic>
              </a:graphicData>
            </a:graphic>
          </wp:inline>
        </w:drawing>
      </w:r>
    </w:p>
    <w:p w:rsidR="00496F79" w:rsidRDefault="00496F79"/>
    <w:p w:rsidR="00496F79" w:rsidRDefault="00496F79"/>
    <w:p w:rsidR="00496F79" w:rsidRDefault="00496F79"/>
    <w:p w:rsidR="00496F79" w:rsidRDefault="00496F79"/>
    <w:p w:rsidR="00496F79" w:rsidRDefault="00496F79"/>
    <w:p w:rsidR="00496F79" w:rsidRDefault="00496F79"/>
    <w:p w:rsidR="00496F79" w:rsidRPr="00496F79" w:rsidRDefault="00496F79">
      <w:pPr>
        <w:rPr>
          <w:rStyle w:val="Forte"/>
          <w:b w:val="0"/>
          <w:bCs w:val="0"/>
        </w:rPr>
      </w:pPr>
      <w:r>
        <w:rPr>
          <w:rStyle w:val="Forte"/>
          <w:rFonts w:ascii="Trebuchet MS" w:hAnsi="Trebuchet MS"/>
          <w:color w:val="555555"/>
          <w:sz w:val="21"/>
          <w:szCs w:val="21"/>
          <w:bdr w:val="none" w:sz="0" w:space="0" w:color="auto" w:frame="1"/>
          <w:shd w:val="clear" w:color="auto" w:fill="FFFFFF"/>
        </w:rPr>
        <w:lastRenderedPageBreak/>
        <w:t>AME – Ambulatório Médico de Especialidades</w:t>
      </w:r>
    </w:p>
    <w:p w:rsidR="00496F79" w:rsidRDefault="00496F79">
      <w:r>
        <w:rPr>
          <w:noProof/>
        </w:rPr>
        <w:drawing>
          <wp:inline distT="0" distB="0" distL="0" distR="0" wp14:anchorId="14CB1F4B" wp14:editId="22A8DA11">
            <wp:extent cx="5400040" cy="171831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1831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AMA - Assistência Médica Ambulatorial</w:t>
      </w:r>
    </w:p>
    <w:p w:rsidR="00496F79" w:rsidRDefault="00496F79">
      <w:r>
        <w:rPr>
          <w:noProof/>
        </w:rPr>
        <w:drawing>
          <wp:inline distT="0" distB="0" distL="0" distR="0" wp14:anchorId="53F05B5E" wp14:editId="69EDC38F">
            <wp:extent cx="5400040" cy="13614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61440"/>
                    </a:xfrm>
                    <a:prstGeom prst="rect">
                      <a:avLst/>
                    </a:prstGeom>
                  </pic:spPr>
                </pic:pic>
              </a:graphicData>
            </a:graphic>
          </wp:inline>
        </w:drawing>
      </w:r>
    </w:p>
    <w:p w:rsidR="00496F79" w:rsidRDefault="00496F79">
      <w:r>
        <w:rPr>
          <w:noProof/>
        </w:rPr>
        <w:drawing>
          <wp:inline distT="0" distB="0" distL="0" distR="0" wp14:anchorId="7E7FAF59" wp14:editId="01A44212">
            <wp:extent cx="5400040" cy="21539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15392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AMA Especialidade</w:t>
      </w:r>
    </w:p>
    <w:p w:rsidR="00496F79" w:rsidRDefault="00496F79">
      <w:r>
        <w:rPr>
          <w:noProof/>
        </w:rPr>
        <w:drawing>
          <wp:inline distT="0" distB="0" distL="0" distR="0" wp14:anchorId="2D8B8CBC" wp14:editId="282301A3">
            <wp:extent cx="5400040" cy="133858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3858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lastRenderedPageBreak/>
        <w:t>CAPS Centro de Atenção Psicossocial</w:t>
      </w:r>
    </w:p>
    <w:p w:rsidR="00496F79" w:rsidRDefault="00496F79">
      <w:r>
        <w:rPr>
          <w:noProof/>
        </w:rPr>
        <w:drawing>
          <wp:inline distT="0" distB="0" distL="0" distR="0" wp14:anchorId="6D180AD8" wp14:editId="729CF3B9">
            <wp:extent cx="5400040" cy="718820"/>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1882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Casa Ser</w:t>
      </w:r>
    </w:p>
    <w:p w:rsidR="00496F79" w:rsidRDefault="00496F79">
      <w:r>
        <w:rPr>
          <w:noProof/>
        </w:rPr>
        <w:drawing>
          <wp:inline distT="0" distB="0" distL="0" distR="0" wp14:anchorId="665BFF5C" wp14:editId="2736FF72">
            <wp:extent cx="5400040" cy="1497330"/>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9733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proofErr w:type="gramStart"/>
      <w:r>
        <w:rPr>
          <w:rStyle w:val="Forte"/>
          <w:rFonts w:ascii="Trebuchet MS" w:hAnsi="Trebuchet MS"/>
          <w:color w:val="555555"/>
          <w:sz w:val="21"/>
          <w:szCs w:val="21"/>
          <w:bdr w:val="none" w:sz="0" w:space="0" w:color="auto" w:frame="1"/>
          <w:shd w:val="clear" w:color="auto" w:fill="FFFFFF"/>
        </w:rPr>
        <w:t>CECCO</w:t>
      </w:r>
      <w:r>
        <w:rPr>
          <w:rFonts w:ascii="Trebuchet MS" w:hAnsi="Trebuchet MS"/>
          <w:color w:val="555555"/>
          <w:sz w:val="21"/>
          <w:szCs w:val="21"/>
          <w:shd w:val="clear" w:color="auto" w:fill="FFFFFF"/>
        </w:rPr>
        <w:t>  </w:t>
      </w:r>
      <w:r>
        <w:rPr>
          <w:rStyle w:val="Forte"/>
          <w:rFonts w:ascii="Trebuchet MS" w:hAnsi="Trebuchet MS"/>
          <w:color w:val="555555"/>
          <w:sz w:val="21"/>
          <w:szCs w:val="21"/>
          <w:bdr w:val="none" w:sz="0" w:space="0" w:color="auto" w:frame="1"/>
          <w:shd w:val="clear" w:color="auto" w:fill="FFFFFF"/>
        </w:rPr>
        <w:t>Centro</w:t>
      </w:r>
      <w:proofErr w:type="gramEnd"/>
      <w:r>
        <w:rPr>
          <w:rStyle w:val="Forte"/>
          <w:rFonts w:ascii="Trebuchet MS" w:hAnsi="Trebuchet MS"/>
          <w:color w:val="555555"/>
          <w:sz w:val="21"/>
          <w:szCs w:val="21"/>
          <w:bdr w:val="none" w:sz="0" w:space="0" w:color="auto" w:frame="1"/>
          <w:shd w:val="clear" w:color="auto" w:fill="FFFFFF"/>
        </w:rPr>
        <w:t xml:space="preserve"> de Convivência e Cooperativa</w:t>
      </w:r>
    </w:p>
    <w:p w:rsidR="00496F79" w:rsidRDefault="00496F79">
      <w:r>
        <w:rPr>
          <w:noProof/>
        </w:rPr>
        <w:drawing>
          <wp:inline distT="0" distB="0" distL="0" distR="0" wp14:anchorId="2F4F5FA1" wp14:editId="3AEE7B5E">
            <wp:extent cx="5400040" cy="10858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08585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CEO Centros de Especialidades Odontológicas</w:t>
      </w:r>
    </w:p>
    <w:p w:rsidR="00496F79" w:rsidRDefault="00496F79">
      <w:r>
        <w:rPr>
          <w:noProof/>
        </w:rPr>
        <w:drawing>
          <wp:inline distT="0" distB="0" distL="0" distR="0" wp14:anchorId="5E5B8723" wp14:editId="1B344540">
            <wp:extent cx="5400040" cy="88138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88138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p>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lastRenderedPageBreak/>
        <w:t>Unidade Básica de Saúde, Centro de Saúde e Posto de Saúde</w:t>
      </w:r>
    </w:p>
    <w:p w:rsidR="00496F79" w:rsidRDefault="00496F79">
      <w:r>
        <w:rPr>
          <w:noProof/>
        </w:rPr>
        <w:drawing>
          <wp:inline distT="0" distB="0" distL="0" distR="0" wp14:anchorId="1F232906" wp14:editId="6F85989B">
            <wp:extent cx="5400040" cy="1688465"/>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688465"/>
                    </a:xfrm>
                    <a:prstGeom prst="rect">
                      <a:avLst/>
                    </a:prstGeom>
                  </pic:spPr>
                </pic:pic>
              </a:graphicData>
            </a:graphic>
          </wp:inline>
        </w:drawing>
      </w:r>
    </w:p>
    <w:p w:rsidR="00496F79" w:rsidRDefault="00496F79">
      <w:r>
        <w:rPr>
          <w:noProof/>
        </w:rPr>
        <w:drawing>
          <wp:inline distT="0" distB="0" distL="0" distR="0" wp14:anchorId="2B781CE7" wp14:editId="44C75229">
            <wp:extent cx="5400040" cy="114998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149985"/>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Policlínica</w:t>
      </w:r>
    </w:p>
    <w:p w:rsidR="00496F79" w:rsidRDefault="00496F79">
      <w:r>
        <w:rPr>
          <w:noProof/>
        </w:rPr>
        <w:drawing>
          <wp:inline distT="0" distB="0" distL="0" distR="0" wp14:anchorId="5E9D3B69" wp14:editId="46ED75DB">
            <wp:extent cx="5400040" cy="7816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81685"/>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CEO Centros de Especialidades Odontológicas</w:t>
      </w:r>
    </w:p>
    <w:p w:rsidR="00496F79" w:rsidRDefault="00496F79">
      <w:r>
        <w:rPr>
          <w:noProof/>
        </w:rPr>
        <w:drawing>
          <wp:inline distT="0" distB="0" distL="0" distR="0" wp14:anchorId="2C4C764E" wp14:editId="3763DD0D">
            <wp:extent cx="5400040" cy="1062355"/>
            <wp:effectExtent l="0" t="0" r="0"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062355"/>
                    </a:xfrm>
                    <a:prstGeom prst="rect">
                      <a:avLst/>
                    </a:prstGeom>
                  </pic:spPr>
                </pic:pic>
              </a:graphicData>
            </a:graphic>
          </wp:inline>
        </w:drawing>
      </w:r>
    </w:p>
    <w:p w:rsidR="00496F79" w:rsidRDefault="00496F79"/>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Style w:val="Forte"/>
          <w:rFonts w:ascii="inherit" w:hAnsi="inherit"/>
          <w:color w:val="555555"/>
          <w:bdr w:val="none" w:sz="0" w:space="0" w:color="auto" w:frame="1"/>
        </w:rPr>
        <w:t>CRST ou CEREST – Centro de Referência Saúde do Trabalhador</w:t>
      </w:r>
    </w:p>
    <w:p w:rsidR="00496F79" w:rsidRDefault="00496F79" w:rsidP="00496F79">
      <w:pPr>
        <w:pStyle w:val="NormalWeb"/>
        <w:shd w:val="clear" w:color="auto" w:fill="FFFFFF"/>
        <w:spacing w:before="0" w:beforeAutospacing="0" w:after="0" w:afterAutospacing="0"/>
        <w:textAlignment w:val="baseline"/>
        <w:rPr>
          <w:rFonts w:ascii="inherit" w:hAnsi="inherit"/>
          <w:color w:val="555555"/>
          <w:bdr w:val="none" w:sz="0" w:space="0" w:color="auto" w:frame="1"/>
        </w:rPr>
      </w:pPr>
      <w:r>
        <w:rPr>
          <w:rFonts w:ascii="inherit" w:hAnsi="inherit"/>
          <w:color w:val="555555"/>
          <w:bdr w:val="none" w:sz="0" w:space="0" w:color="auto" w:frame="1"/>
        </w:rPr>
        <w:t>Serviço de saúde realizado por equipe multiprofissional que realiza ações de assistência para diagnóstico e tratamento de doenças relacionadas ao trabalho, atividades de educação em saúde e vigilância nos ambientes de trabalho. O acesso para atendimento nesse serviço é por meio de encaminhamento do Centro de Saúde.</w:t>
      </w:r>
    </w:p>
    <w:p w:rsidR="00496F79" w:rsidRDefault="00496F79" w:rsidP="00496F79">
      <w:pPr>
        <w:pStyle w:val="NormalWeb"/>
        <w:shd w:val="clear" w:color="auto" w:fill="FFFFFF"/>
        <w:spacing w:before="0" w:beforeAutospacing="0" w:after="0" w:afterAutospacing="0"/>
        <w:textAlignment w:val="baseline"/>
        <w:rPr>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Style w:val="Forte"/>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Style w:val="Forte"/>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Style w:val="Forte"/>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Style w:val="Forte"/>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Style w:val="Forte"/>
          <w:rFonts w:ascii="inherit" w:hAnsi="inherit"/>
          <w:color w:val="555555"/>
          <w:bdr w:val="none" w:sz="0" w:space="0" w:color="auto" w:frame="1"/>
        </w:rPr>
        <w:lastRenderedPageBreak/>
        <w:t xml:space="preserve">CRI – Centro de </w:t>
      </w:r>
      <w:proofErr w:type="spellStart"/>
      <w:r>
        <w:rPr>
          <w:rStyle w:val="Forte"/>
          <w:rFonts w:ascii="inherit" w:hAnsi="inherit"/>
          <w:color w:val="555555"/>
          <w:bdr w:val="none" w:sz="0" w:space="0" w:color="auto" w:frame="1"/>
        </w:rPr>
        <w:t>Referencia</w:t>
      </w:r>
      <w:proofErr w:type="spellEnd"/>
      <w:r>
        <w:rPr>
          <w:rStyle w:val="Forte"/>
          <w:rFonts w:ascii="inherit" w:hAnsi="inherit"/>
          <w:color w:val="555555"/>
          <w:bdr w:val="none" w:sz="0" w:space="0" w:color="auto" w:frame="1"/>
        </w:rPr>
        <w:t xml:space="preserve"> à Saúde do Idoso</w:t>
      </w: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Atende pacientes idosos (maiores de 60 anos), de maior complexidade, que necessitam de atendimento e/ou acompanhamento multiprofissional. Não atende demanda espontânea, apenas pacientes referenciados pelos Centros de Saúde e hospitais.</w:t>
      </w:r>
    </w:p>
    <w:p w:rsidR="00496F79" w:rsidRDefault="00496F79">
      <w:pPr>
        <w:rPr>
          <w:rFonts w:ascii="Trebuchet MS" w:eastAsia="Times New Roman" w:hAnsi="Trebuchet MS" w:cs="Times New Roman"/>
          <w:color w:val="555555"/>
          <w:sz w:val="24"/>
          <w:szCs w:val="24"/>
          <w:lang w:eastAsia="pt-BR"/>
        </w:rPr>
      </w:pP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proofErr w:type="gramStart"/>
      <w:r>
        <w:rPr>
          <w:rStyle w:val="Forte"/>
          <w:rFonts w:ascii="inherit" w:hAnsi="inherit"/>
          <w:color w:val="555555"/>
          <w:bdr w:val="none" w:sz="0" w:space="0" w:color="auto" w:frame="1"/>
        </w:rPr>
        <w:t>CTA,CR</w:t>
      </w:r>
      <w:proofErr w:type="gramEnd"/>
      <w:r>
        <w:rPr>
          <w:rStyle w:val="Forte"/>
          <w:rFonts w:ascii="inherit" w:hAnsi="inherit"/>
          <w:color w:val="555555"/>
          <w:bdr w:val="none" w:sz="0" w:space="0" w:color="auto" w:frame="1"/>
        </w:rPr>
        <w:t>, CTA E SAE DST/AIDS</w:t>
      </w:r>
      <w:r>
        <w:rPr>
          <w:rFonts w:ascii="Trebuchet MS" w:hAnsi="Trebuchet MS"/>
          <w:color w:val="555555"/>
        </w:rPr>
        <w:t> </w:t>
      </w:r>
      <w:r>
        <w:rPr>
          <w:rStyle w:val="Forte"/>
          <w:rFonts w:ascii="inherit" w:hAnsi="inherit"/>
          <w:color w:val="555555"/>
          <w:bdr w:val="none" w:sz="0" w:space="0" w:color="auto" w:frame="1"/>
        </w:rPr>
        <w:t>– Centro de Testagem e Aconselhamento</w:t>
      </w: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Serviço voltado ao tratamento, prevenção e redução de danos quanto ao tratamento e terapêutica dos portadores de doenças sexualmente transmissíveis e AIDS.</w:t>
      </w: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Para realização de testes sorológicos e acompanhamento para AIDS (HIV), HPV, Sífilis e Hepatites Virais, o usuário pode buscar os Centros de Testagem e Aconselhamento (</w:t>
      </w:r>
      <w:proofErr w:type="spellStart"/>
      <w:r>
        <w:rPr>
          <w:rFonts w:ascii="inherit" w:hAnsi="inherit"/>
          <w:color w:val="555555"/>
          <w:bdr w:val="none" w:sz="0" w:space="0" w:color="auto" w:frame="1"/>
        </w:rPr>
        <w:t>CTAs</w:t>
      </w:r>
      <w:proofErr w:type="spellEnd"/>
      <w:r>
        <w:rPr>
          <w:rFonts w:ascii="inherit" w:hAnsi="inherit"/>
          <w:color w:val="555555"/>
          <w:bdr w:val="none" w:sz="0" w:space="0" w:color="auto" w:frame="1"/>
        </w:rPr>
        <w:t>): </w:t>
      </w:r>
      <w:r>
        <w:rPr>
          <w:rFonts w:ascii="Trebuchet MS" w:hAnsi="Trebuchet MS"/>
          <w:color w:val="555555"/>
        </w:rPr>
        <w:t>CTA Centro e CTA Ouro Verde</w:t>
      </w: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 xml:space="preserve">No CTA Ouro Verde é realizado o teste de "Diagnóstico Rápido" para HIV (AIDS), </w:t>
      </w:r>
      <w:proofErr w:type="spellStart"/>
      <w:r>
        <w:rPr>
          <w:rFonts w:ascii="inherit" w:hAnsi="inherit"/>
          <w:color w:val="555555"/>
          <w:bdr w:val="none" w:sz="0" w:space="0" w:color="auto" w:frame="1"/>
        </w:rPr>
        <w:t>co-resultado</w:t>
      </w:r>
      <w:proofErr w:type="spellEnd"/>
      <w:r>
        <w:rPr>
          <w:rFonts w:ascii="inherit" w:hAnsi="inherit"/>
          <w:color w:val="555555"/>
          <w:bdr w:val="none" w:sz="0" w:space="0" w:color="auto" w:frame="1"/>
        </w:rPr>
        <w:t xml:space="preserve"> entregue em 30 minutos após a coleta do sangue. Todos os Centros de testagem e aconselhamento realizam aconselhamento e coleta de sangue para o exame contra o HIV.</w:t>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 xml:space="preserve">CRR ou NIR – Centro de </w:t>
      </w:r>
      <w:proofErr w:type="spellStart"/>
      <w:r>
        <w:rPr>
          <w:rStyle w:val="Forte"/>
          <w:rFonts w:ascii="Trebuchet MS" w:hAnsi="Trebuchet MS"/>
          <w:color w:val="555555"/>
          <w:sz w:val="21"/>
          <w:szCs w:val="21"/>
          <w:bdr w:val="none" w:sz="0" w:space="0" w:color="auto" w:frame="1"/>
          <w:shd w:val="clear" w:color="auto" w:fill="FFFFFF"/>
        </w:rPr>
        <w:t>Referencia</w:t>
      </w:r>
      <w:proofErr w:type="spellEnd"/>
      <w:r>
        <w:rPr>
          <w:rStyle w:val="Forte"/>
          <w:rFonts w:ascii="Trebuchet MS" w:hAnsi="Trebuchet MS"/>
          <w:color w:val="555555"/>
          <w:sz w:val="21"/>
          <w:szCs w:val="21"/>
          <w:bdr w:val="none" w:sz="0" w:space="0" w:color="auto" w:frame="1"/>
          <w:shd w:val="clear" w:color="auto" w:fill="FFFFFF"/>
        </w:rPr>
        <w:t xml:space="preserve"> em Reabilitação</w:t>
      </w:r>
    </w:p>
    <w:p w:rsidR="00496F79" w:rsidRDefault="00496F79">
      <w:r>
        <w:rPr>
          <w:noProof/>
        </w:rPr>
        <w:drawing>
          <wp:inline distT="0" distB="0" distL="0" distR="0" wp14:anchorId="6A7068E3" wp14:editId="0BC6AA6D">
            <wp:extent cx="5400040" cy="683260"/>
            <wp:effectExtent l="0" t="0" r="0" b="254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83260"/>
                    </a:xfrm>
                    <a:prstGeom prst="rect">
                      <a:avLst/>
                    </a:prstGeom>
                  </pic:spPr>
                </pic:pic>
              </a:graphicData>
            </a:graphic>
          </wp:inline>
        </w:drawing>
      </w:r>
    </w:p>
    <w:p w:rsidR="00496F79" w:rsidRDefault="00496F79"/>
    <w:p w:rsidR="00496F79" w:rsidRDefault="00496F79">
      <w:pPr>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NASF, PSF e ESF – Núcleo de Apoio À Saúde da Família.</w:t>
      </w:r>
    </w:p>
    <w:p w:rsidR="00496F79" w:rsidRDefault="00496F79">
      <w:r>
        <w:rPr>
          <w:noProof/>
        </w:rPr>
        <w:drawing>
          <wp:inline distT="0" distB="0" distL="0" distR="0" wp14:anchorId="09ACD0FE" wp14:editId="2C642C24">
            <wp:extent cx="5400040" cy="10382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38225"/>
                    </a:xfrm>
                    <a:prstGeom prst="rect">
                      <a:avLst/>
                    </a:prstGeom>
                  </pic:spPr>
                </pic:pic>
              </a:graphicData>
            </a:graphic>
          </wp:inline>
        </w:drawing>
      </w:r>
    </w:p>
    <w:p w:rsidR="00496F79" w:rsidRDefault="00496F79"/>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Style w:val="Forte"/>
          <w:rFonts w:ascii="inherit" w:hAnsi="inherit"/>
          <w:color w:val="555555"/>
          <w:bdr w:val="none" w:sz="0" w:space="0" w:color="auto" w:frame="1"/>
        </w:rPr>
        <w:t>SAID – Serviço de Atenção Integral ao Dependente</w:t>
      </w: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Serviço de Atenção Integral ao Dependente (SAID) é um centro para o tratamento gratuito e intensivo de dependentes químicos.</w:t>
      </w:r>
    </w:p>
    <w:p w:rsidR="00496F79" w:rsidRDefault="00496F79" w:rsidP="00496F79">
      <w:pPr>
        <w:pStyle w:val="NormalWeb"/>
        <w:shd w:val="clear" w:color="auto" w:fill="FFFFFF"/>
        <w:spacing w:before="0" w:beforeAutospacing="0" w:after="0" w:afterAutospacing="0"/>
        <w:textAlignment w:val="baseline"/>
        <w:rPr>
          <w:rStyle w:val="Forte"/>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Style w:val="Forte"/>
          <w:rFonts w:ascii="inherit" w:hAnsi="inherit"/>
          <w:color w:val="555555"/>
          <w:bdr w:val="none" w:sz="0" w:space="0" w:color="auto" w:frame="1"/>
        </w:rPr>
        <w:t>UAD – Unidade de Assistência Domiciliar</w:t>
      </w:r>
    </w:p>
    <w:p w:rsidR="00496F79" w:rsidRDefault="00496F79" w:rsidP="00496F79">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O Programa Hospital Domiciliar de Atendimento e Internação Domiciliar (PROHDOM) é uma iniciativa da Secretaria Municipal da Saúde, que visa o atendimento de pacientes de todas as idades, moradores na cidade de São Paulo, cujo benefício se traduzirá na redução dos riscos decorrentes das internações de longa permanência, no tratamento dos pacientes com dificuldade de locomoção e nos cuidados de prevenção de doenças.</w:t>
      </w:r>
    </w:p>
    <w:p w:rsidR="00496F79" w:rsidRDefault="00496F79" w:rsidP="00496F79">
      <w:pPr>
        <w:pStyle w:val="NormalWeb"/>
        <w:shd w:val="clear" w:color="auto" w:fill="FFFFFF"/>
        <w:spacing w:before="0" w:beforeAutospacing="0" w:after="0" w:afterAutospacing="0"/>
        <w:textAlignment w:val="baseline"/>
        <w:rPr>
          <w:rStyle w:val="Forte"/>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Style w:val="Forte"/>
          <w:rFonts w:ascii="inherit" w:hAnsi="inherit"/>
          <w:color w:val="555555"/>
          <w:bdr w:val="none" w:sz="0" w:space="0" w:color="auto" w:frame="1"/>
        </w:rPr>
        <w:lastRenderedPageBreak/>
        <w:t>Unidade Mista</w:t>
      </w: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Unidade de saúde básica destinada a prestar atenção básica e integral à saúde, de forma programada ou não, nas quatro especialidades básicas, podendo oferecer assistência odontológica e de outros profissionais, com unidade de internação, sob administração única. A assistência médica deve ser permanente e prestada por médico generalista ou especialista.</w:t>
      </w:r>
    </w:p>
    <w:p w:rsidR="00496F79" w:rsidRDefault="00496F79" w:rsidP="00496F79">
      <w:pPr>
        <w:pStyle w:val="NormalWeb"/>
        <w:shd w:val="clear" w:color="auto" w:fill="FFFFFF"/>
        <w:spacing w:before="0" w:beforeAutospacing="0" w:after="0" w:afterAutospacing="0"/>
        <w:textAlignment w:val="baseline"/>
        <w:rPr>
          <w:rStyle w:val="Forte"/>
          <w:rFonts w:ascii="inherit" w:hAnsi="inherit"/>
          <w:color w:val="555555"/>
          <w:bdr w:val="none" w:sz="0" w:space="0" w:color="auto" w:frame="1"/>
        </w:rPr>
      </w:pP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Style w:val="Forte"/>
          <w:rFonts w:ascii="inherit" w:hAnsi="inherit"/>
          <w:color w:val="555555"/>
          <w:bdr w:val="none" w:sz="0" w:space="0" w:color="auto" w:frame="1"/>
        </w:rPr>
        <w:t>Farmácia Popular</w:t>
      </w:r>
    </w:p>
    <w:p w:rsidR="00496F79" w:rsidRDefault="00496F79" w:rsidP="00496F79">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O Programa Farmácia Popular do Brasil foi desenvolvido pelo Governo Federal com o objetivo de que a população tivesse mais facilidade no acesso a medicamentos que são considerados fundamentais, como os medicamentos dedicados às doenças mais comuns como, por exemplo: Diabetes oferecidos a baixo custo.</w:t>
      </w:r>
    </w:p>
    <w:p w:rsidR="00496F79" w:rsidRDefault="00496F79" w:rsidP="00496F79">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O Programa trabalha com dois eixos de ação, que são as suas Unidade Próprias, e tem como parceiras de seu desenvolvimento os Municípios e Estados, e o Sistema de </w:t>
      </w:r>
      <w:proofErr w:type="spellStart"/>
      <w:r>
        <w:rPr>
          <w:rFonts w:ascii="Trebuchet MS" w:hAnsi="Trebuchet MS"/>
          <w:color w:val="555555"/>
        </w:rPr>
        <w:t>Co-Pagamento</w:t>
      </w:r>
      <w:proofErr w:type="spellEnd"/>
      <w:r>
        <w:rPr>
          <w:rFonts w:ascii="Trebuchet MS" w:hAnsi="Trebuchet MS"/>
          <w:color w:val="555555"/>
        </w:rPr>
        <w:t>, tendo como parceiros de seu desenvolvimento drogarias e farmácias privadas.</w:t>
      </w:r>
    </w:p>
    <w:p w:rsidR="00496F79" w:rsidRDefault="00496F79" w:rsidP="00496F79">
      <w:pPr>
        <w:pStyle w:val="NormalWeb"/>
        <w:shd w:val="clear" w:color="auto" w:fill="FFFFFF"/>
        <w:spacing w:before="0" w:beforeAutospacing="0" w:after="150" w:afterAutospacing="0"/>
        <w:textAlignment w:val="baseline"/>
        <w:rPr>
          <w:rFonts w:ascii="Trebuchet MS" w:hAnsi="Trebuchet MS"/>
          <w:color w:val="555555"/>
        </w:rPr>
      </w:pPr>
    </w:p>
    <w:p w:rsidR="00496F79" w:rsidRDefault="00496F79" w:rsidP="00496F79">
      <w:pPr>
        <w:pStyle w:val="NormalWeb"/>
        <w:shd w:val="clear" w:color="auto" w:fill="FFFFFF"/>
        <w:spacing w:before="0" w:beforeAutospacing="0" w:after="150" w:afterAutospacing="0"/>
        <w:textAlignment w:val="baseline"/>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Farmácia de Alto Custo</w:t>
      </w:r>
    </w:p>
    <w:p w:rsidR="00496F79" w:rsidRDefault="00496F79" w:rsidP="00496F79">
      <w:pPr>
        <w:pStyle w:val="NormalWeb"/>
        <w:shd w:val="clear" w:color="auto" w:fill="FFFFFF"/>
        <w:spacing w:before="0" w:beforeAutospacing="0" w:after="150" w:afterAutospacing="0"/>
        <w:textAlignment w:val="baseline"/>
        <w:rPr>
          <w:rFonts w:ascii="Trebuchet MS" w:hAnsi="Trebuchet MS"/>
          <w:color w:val="555555"/>
        </w:rPr>
      </w:pPr>
      <w:r>
        <w:rPr>
          <w:noProof/>
        </w:rPr>
        <w:drawing>
          <wp:inline distT="0" distB="0" distL="0" distR="0" wp14:anchorId="122705E5" wp14:editId="2497C4AB">
            <wp:extent cx="5400040" cy="322389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223895"/>
                    </a:xfrm>
                    <a:prstGeom prst="rect">
                      <a:avLst/>
                    </a:prstGeom>
                  </pic:spPr>
                </pic:pic>
              </a:graphicData>
            </a:graphic>
          </wp:inline>
        </w:drawing>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496F79">
      <w:pPr>
        <w:pStyle w:val="NormalWeb"/>
        <w:shd w:val="clear" w:color="auto" w:fill="FFFFFF"/>
        <w:spacing w:before="0" w:beforeAutospacing="0" w:after="150" w:afterAutospacing="0"/>
        <w:textAlignment w:val="baseline"/>
        <w:rPr>
          <w:rStyle w:val="Forte"/>
          <w:rFonts w:ascii="Trebuchet MS" w:hAnsi="Trebuchet MS"/>
          <w:color w:val="555555"/>
          <w:sz w:val="21"/>
          <w:szCs w:val="21"/>
          <w:bdr w:val="none" w:sz="0" w:space="0" w:color="auto" w:frame="1"/>
          <w:shd w:val="clear" w:color="auto" w:fill="FFFFFF"/>
        </w:rPr>
      </w:pPr>
      <w:r>
        <w:rPr>
          <w:rStyle w:val="Forte"/>
          <w:rFonts w:ascii="Trebuchet MS" w:hAnsi="Trebuchet MS"/>
          <w:color w:val="555555"/>
          <w:sz w:val="21"/>
          <w:szCs w:val="21"/>
          <w:bdr w:val="none" w:sz="0" w:space="0" w:color="auto" w:frame="1"/>
          <w:shd w:val="clear" w:color="auto" w:fill="FFFFFF"/>
        </w:rPr>
        <w:t>Farmácia Dose Certa</w:t>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 xml:space="preserve">A Farmácia Dose Certa é um projeto do governo do estado que distribui gratuitamente 40 tipos de remédios em dez estações do Metrô, três estações da CPTM e no terminal de 6 </w:t>
      </w:r>
      <w:proofErr w:type="spellStart"/>
      <w:r>
        <w:rPr>
          <w:rFonts w:ascii="Trebuchet MS" w:hAnsi="Trebuchet MS"/>
          <w:color w:val="555555"/>
          <w:sz w:val="21"/>
          <w:szCs w:val="21"/>
          <w:shd w:val="clear" w:color="auto" w:fill="FFFFFF"/>
        </w:rPr>
        <w:t>onibus</w:t>
      </w:r>
      <w:proofErr w:type="spellEnd"/>
      <w:r>
        <w:rPr>
          <w:rFonts w:ascii="Trebuchet MS" w:hAnsi="Trebuchet MS"/>
          <w:color w:val="555555"/>
          <w:sz w:val="21"/>
          <w:szCs w:val="21"/>
          <w:shd w:val="clear" w:color="auto" w:fill="FFFFFF"/>
        </w:rPr>
        <w:t xml:space="preserve"> de São Mateus.</w:t>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sz w:val="21"/>
          <w:szCs w:val="21"/>
          <w:shd w:val="clear" w:color="auto" w:fill="FFFFFF"/>
        </w:rPr>
      </w:pPr>
    </w:p>
    <w:p w:rsidR="005F2E77" w:rsidRDefault="005F2E77" w:rsidP="005F2E77">
      <w:pPr>
        <w:pStyle w:val="NormalWeb"/>
        <w:shd w:val="clear" w:color="auto" w:fill="FFFFFF"/>
        <w:spacing w:before="0" w:beforeAutospacing="0" w:after="0" w:afterAutospacing="0"/>
        <w:textAlignment w:val="baseline"/>
        <w:rPr>
          <w:rFonts w:ascii="Trebuchet MS" w:hAnsi="Trebuchet MS"/>
          <w:color w:val="555555"/>
        </w:rPr>
      </w:pPr>
      <w:r>
        <w:rPr>
          <w:rStyle w:val="Forte"/>
          <w:rFonts w:ascii="inherit" w:hAnsi="inherit"/>
          <w:color w:val="555555"/>
          <w:bdr w:val="none" w:sz="0" w:space="0" w:color="auto" w:frame="1"/>
        </w:rPr>
        <w:t>Farmácia em Postos de Saúde/UBS</w:t>
      </w:r>
    </w:p>
    <w:p w:rsidR="005F2E77" w:rsidRDefault="005F2E77" w:rsidP="005F2E77">
      <w:pPr>
        <w:pStyle w:val="NormalWeb"/>
        <w:shd w:val="clear" w:color="auto" w:fill="FFFFFF"/>
        <w:spacing w:before="0" w:beforeAutospacing="0" w:after="0" w:afterAutospacing="0"/>
        <w:textAlignment w:val="baseline"/>
        <w:rPr>
          <w:rFonts w:ascii="Trebuchet MS" w:hAnsi="Trebuchet MS"/>
          <w:color w:val="555555"/>
        </w:rPr>
      </w:pPr>
      <w:r>
        <w:rPr>
          <w:rFonts w:ascii="inherit" w:hAnsi="inherit"/>
          <w:color w:val="555555"/>
          <w:bdr w:val="none" w:sz="0" w:space="0" w:color="auto" w:frame="1"/>
        </w:rPr>
        <w:t>As Unidades Básicas de Saúde, conhecidas como Postos de Saúde distribuem medicamentos gratuitamente.</w:t>
      </w: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lastRenderedPageBreak/>
        <w:t>Serviço de Atendimento Móvel às Urgências (SAMU 192)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Ao discar o número 192, o cidadão estará ligando para uma central de regulação que conta com profissionais de saúde e médicos treinados para dar orientações de primeiros socorros por telefone. São estes profissionais que definem o tipo de atendimento, ambulância e equipe adequado a cada caso. </w:t>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Hospitais de referência</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São clínicas e hospitais públicos e privados que oferecem à população o que há de melhor no País em determinada especialidade.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Os centros de referência também são responsáveis pelos tratamentos que envolvam procedimentos de alto custo e que requeiram, muitas vezes, equipamentos tecnológicos avançados. São os chamados tratamentos de alta complexidade bastante comuns nas áreas de oncologia, neurologia, cardiologia, entre outras.</w:t>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Os centros de referência recebem pacientes encaminhados por outras unidades de saúde na mesma região em que atua ou mesmo, em muitos casos, fora dela. Conheça alguns dos principais centros de referência do país em determinadas especialidades:</w:t>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rPr>
      </w:pPr>
      <w:r>
        <w:rPr>
          <w:noProof/>
        </w:rPr>
        <w:drawing>
          <wp:inline distT="0" distB="0" distL="0" distR="0" wp14:anchorId="65911791" wp14:editId="14225E5D">
            <wp:extent cx="5400040" cy="10572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057275"/>
                    </a:xfrm>
                    <a:prstGeom prst="rect">
                      <a:avLst/>
                    </a:prstGeom>
                  </pic:spPr>
                </pic:pic>
              </a:graphicData>
            </a:graphic>
          </wp:inline>
        </w:drawing>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Centro/Núcleo de Atenção Psicossocial</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São serviços públicos de saúde mental que oferecem cuidados intensivos, </w:t>
      </w:r>
      <w:proofErr w:type="spellStart"/>
      <w:r>
        <w:rPr>
          <w:rFonts w:ascii="Trebuchet MS" w:hAnsi="Trebuchet MS"/>
          <w:color w:val="555555"/>
        </w:rPr>
        <w:t>semi-intensivos</w:t>
      </w:r>
      <w:proofErr w:type="spellEnd"/>
      <w:r>
        <w:rPr>
          <w:rFonts w:ascii="Trebuchet MS" w:hAnsi="Trebuchet MS"/>
          <w:color w:val="555555"/>
        </w:rPr>
        <w:t xml:space="preserve"> ou não intensivos a pacientes em sofrimento psíquico diagnosticados como neuróticos graves ou psicóticos que podem já ter ou não histórico de internação e/ou tratamento.</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Os Centros de Atenção Psicossocial, como referido, são serviços públicos de saúde mental, destinados a atender indivíduos com transtornos mentais relativamente graves. Esse serviço é uma substituição as internações em hospitais psiquiátricos, e tem como maior objetivo tratar a saúde mental de forma adequada, oferecendo atendimento </w:t>
      </w:r>
      <w:proofErr w:type="spellStart"/>
      <w:r>
        <w:rPr>
          <w:rFonts w:ascii="Trebuchet MS" w:hAnsi="Trebuchet MS"/>
          <w:color w:val="555555"/>
        </w:rPr>
        <w:t>á</w:t>
      </w:r>
      <w:proofErr w:type="spellEnd"/>
      <w:r>
        <w:rPr>
          <w:rFonts w:ascii="Trebuchet MS" w:hAnsi="Trebuchet MS"/>
          <w:color w:val="555555"/>
        </w:rPr>
        <w:t xml:space="preserve"> população, realizando o acompanhamento clínico, e promovendo a reinserção social dos usuários pelo acesso ao trabalho e ao </w:t>
      </w:r>
      <w:proofErr w:type="gramStart"/>
      <w:r>
        <w:rPr>
          <w:rFonts w:ascii="Trebuchet MS" w:hAnsi="Trebuchet MS"/>
          <w:color w:val="555555"/>
        </w:rPr>
        <w:t>lazer</w:t>
      </w:r>
      <w:proofErr w:type="gramEnd"/>
      <w:r>
        <w:rPr>
          <w:rFonts w:ascii="Trebuchet MS" w:hAnsi="Trebuchet MS"/>
          <w:color w:val="555555"/>
        </w:rPr>
        <w:t>, a fim de fortalecer os laços familiares e comunitários. </w:t>
      </w:r>
    </w:p>
    <w:p w:rsidR="005F2E77" w:rsidRDefault="005F2E77" w:rsidP="00496F79">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lastRenderedPageBreak/>
        <w:t>Núcleos Integrados de Reabilitação NIR</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Os Núcleos Integrados de Reabilitação – </w:t>
      </w:r>
      <w:proofErr w:type="spellStart"/>
      <w:r>
        <w:rPr>
          <w:rFonts w:ascii="Trebuchet MS" w:hAnsi="Trebuchet MS"/>
          <w:color w:val="555555"/>
        </w:rPr>
        <w:t>NIRs</w:t>
      </w:r>
      <w:proofErr w:type="spellEnd"/>
      <w:r>
        <w:rPr>
          <w:rFonts w:ascii="Trebuchet MS" w:hAnsi="Trebuchet MS"/>
          <w:color w:val="555555"/>
        </w:rPr>
        <w:t xml:space="preserve"> fazem parte da Rede Municipal de Saúde Auditiva da Secretaria Municipal de Saúde. A construção dessa rede de atenção à Saúde da Pessoa com Deficiência assumiu nesta administração, características diferenciadas e ampliadas, composta por serviços municipais, estaduais e conveniados.</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Contando com profissionais capacitados, as unidades contemplam prevenção, promoção, diagnóstico e o tratamento de pessoas com deficiência. Funcionam em Unidades Básicas de Saúde – UBS ou Ambulatórios de Especialidade – AE. A UBS mais próxima da residência do cidadão realiza o encaminhamento para os </w:t>
      </w:r>
      <w:proofErr w:type="spellStart"/>
      <w:r>
        <w:rPr>
          <w:rFonts w:ascii="Trebuchet MS" w:hAnsi="Trebuchet MS"/>
          <w:color w:val="555555"/>
        </w:rPr>
        <w:t>NIRs</w:t>
      </w:r>
      <w:proofErr w:type="spellEnd"/>
      <w:r>
        <w:rPr>
          <w:rFonts w:ascii="Trebuchet MS" w:hAnsi="Trebuchet MS"/>
          <w:color w:val="555555"/>
        </w:rPr>
        <w:t xml:space="preserve"> de referência de cada região de saúde.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noProof/>
        </w:rPr>
        <w:drawing>
          <wp:inline distT="0" distB="0" distL="0" distR="0" wp14:anchorId="16F790E8" wp14:editId="010EF81C">
            <wp:extent cx="5400040" cy="65722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57225"/>
                    </a:xfrm>
                    <a:prstGeom prst="rect">
                      <a:avLst/>
                    </a:prstGeom>
                  </pic:spPr>
                </pic:pic>
              </a:graphicData>
            </a:graphic>
          </wp:inline>
        </w:drawing>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CACON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Unidades hospitalares que possuem condições técnicas, instalações físicas, equipamentos e recursos humanos adequados à prestação de assistência especializada de Alta Complexidade para o diagnóstico definitivo e tratamento de todos os tipos de </w:t>
      </w:r>
      <w:proofErr w:type="gramStart"/>
      <w:r>
        <w:rPr>
          <w:rFonts w:ascii="Trebuchet MS" w:hAnsi="Trebuchet MS"/>
          <w:color w:val="555555"/>
        </w:rPr>
        <w:t>câncer .</w:t>
      </w:r>
      <w:proofErr w:type="gramEnd"/>
      <w:r>
        <w:rPr>
          <w:rFonts w:ascii="Trebuchet MS" w:hAnsi="Trebuchet MS"/>
          <w:color w:val="555555"/>
        </w:rPr>
        <w:t xml:space="preserve"> Estes hospitais devem, obrigatoriamente, contar com assistência radioterápica em sua estrutura física.</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Centros de Referência de Alta Complexidade em Oncologia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São aqueles CACON designados para exercer o papel auxiliar, de caráter técnico, no tratamento oncológico. Oferecem: Serviços Isolados de Radioterapia e/ou Quimioterapia</w:t>
      </w: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UNACON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Unidades hospitalares que possuem condições técnicas, instalações físicas, equipamentos e recursos humanos adequados à prestação de assistência especializada de alta complexidade para o diagnóstico definitivo e tratamento dos cânceres mais </w:t>
      </w:r>
      <w:proofErr w:type="gramStart"/>
      <w:r>
        <w:rPr>
          <w:rFonts w:ascii="Trebuchet MS" w:hAnsi="Trebuchet MS"/>
          <w:color w:val="555555"/>
        </w:rPr>
        <w:t>prevalentes .</w:t>
      </w:r>
      <w:proofErr w:type="gramEnd"/>
      <w:r>
        <w:rPr>
          <w:rFonts w:ascii="Trebuchet MS" w:hAnsi="Trebuchet MS"/>
          <w:color w:val="555555"/>
        </w:rPr>
        <w:t xml:space="preserve"> Estas unidades hospitalares podem ter em sua estrutura física a assistência radioterápica ou então, referenciar formalmente os pacientes que necessitarem desta modalidade terapêutica.</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Style w:val="Forte"/>
          <w:rFonts w:ascii="inherit" w:hAnsi="inherit"/>
          <w:color w:val="555555"/>
          <w:bdr w:val="none" w:sz="0" w:space="0" w:color="auto" w:frame="1"/>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lastRenderedPageBreak/>
        <w:t>UNACON - Unidades de Assistência de Alta Complexidade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É o hospital que possui todas as condições técnicas, instalações físicas, equipamentos e recursos humanos adequados à prestação de assistência especializada de alta complexidade para o diagnóstico definitivo e tratamento dos cânceres mais prevalentes no Brasil.</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noProof/>
        </w:rPr>
        <w:drawing>
          <wp:inline distT="0" distB="0" distL="0" distR="0" wp14:anchorId="60A68551" wp14:editId="4A6C3BAA">
            <wp:extent cx="5400040" cy="1045845"/>
            <wp:effectExtent l="0" t="0" r="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45845"/>
                    </a:xfrm>
                    <a:prstGeom prst="rect">
                      <a:avLst/>
                    </a:prstGeom>
                  </pic:spPr>
                </pic:pic>
              </a:graphicData>
            </a:graphic>
          </wp:inline>
        </w:drawing>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CACON - Centros de Assistência de Alta Complexidade em Oncologia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É o hospital que possui todas as condições técnicas, instalações físicas, equipamentos e recursos humanos adequados à prestação de assistência especializada de alta complexidade para o diagnóstico definitivo e tratamento de todos os tipos de câncer.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Todo CACON oferece tratamento assistencial radioterápico na própria estrutura hospitalar.</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QT - Serviço Isolado de Quimioterapia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São clínicas isoladas que </w:t>
      </w:r>
      <w:proofErr w:type="gramStart"/>
      <w:r>
        <w:rPr>
          <w:rFonts w:ascii="Trebuchet MS" w:hAnsi="Trebuchet MS"/>
          <w:color w:val="555555"/>
        </w:rPr>
        <w:t>oferecem  tratamento</w:t>
      </w:r>
      <w:proofErr w:type="gramEnd"/>
      <w:r>
        <w:rPr>
          <w:rFonts w:ascii="Trebuchet MS" w:hAnsi="Trebuchet MS"/>
          <w:color w:val="555555"/>
        </w:rPr>
        <w:t xml:space="preserve"> quimioterápico complementar às UNACON ou CACON. </w:t>
      </w:r>
      <w:r>
        <w:rPr>
          <w:rFonts w:ascii="Trebuchet MS" w:hAnsi="Trebuchet MS"/>
          <w:color w:val="555555"/>
        </w:rPr>
        <w:br/>
        <w:t xml:space="preserve">Os pacientes encaminhados para estes Serviços devem estar vinculados, de acordo com a rede planejada pelo Gestor, a uma Unidade de Assistência de Alta Complexidade </w:t>
      </w:r>
      <w:r>
        <w:rPr>
          <w:rFonts w:ascii="Trebuchet MS" w:hAnsi="Trebuchet MS"/>
          <w:color w:val="555555"/>
        </w:rPr>
        <w:t xml:space="preserve">em Oncologia ou CACON, para </w:t>
      </w:r>
      <w:proofErr w:type="spellStart"/>
      <w:r>
        <w:rPr>
          <w:rFonts w:ascii="Trebuchet MS" w:hAnsi="Trebuchet MS"/>
          <w:color w:val="555555"/>
        </w:rPr>
        <w:t>coo</w:t>
      </w:r>
      <w:r>
        <w:rPr>
          <w:rFonts w:ascii="Trebuchet MS" w:hAnsi="Trebuchet MS"/>
          <w:color w:val="555555"/>
        </w:rPr>
        <w:t>eração</w:t>
      </w:r>
      <w:proofErr w:type="spellEnd"/>
      <w:r>
        <w:rPr>
          <w:rFonts w:ascii="Trebuchet MS" w:hAnsi="Trebuchet MS"/>
          <w:color w:val="555555"/>
        </w:rPr>
        <w:t xml:space="preserve"> técnica e planejamento terapêutico global conjunto dos casos.</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RT - Serviço Isolado de Radioterapia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São clínicas isoladas que oferecem tratamento quimioterápico complementar às UNACON ou CACON. </w:t>
      </w:r>
      <w:r>
        <w:rPr>
          <w:rFonts w:ascii="Trebuchet MS" w:hAnsi="Trebuchet MS"/>
          <w:color w:val="555555"/>
        </w:rPr>
        <w:br/>
        <w:t>Os pacientes encaminhados para estes Serviços devem estar vinculados, de acordo com a rede planejada pelo Gestor, a uma Unidade de Assistência de Alta Complexidade em Oncologia ou CACON, para cooperação técnica e planejamento terapêutico global conjunto dos casos.</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NormalWeb"/>
        <w:shd w:val="clear" w:color="auto" w:fill="FFFFFF"/>
        <w:spacing w:before="0" w:beforeAutospacing="0" w:after="150" w:afterAutospacing="0"/>
        <w:textAlignment w:val="baseline"/>
        <w:rPr>
          <w:rStyle w:val="Forte"/>
          <w:rFonts w:ascii="Trebuchet MS" w:hAnsi="Trebuchet MS"/>
          <w:color w:val="555555"/>
          <w:bdr w:val="none" w:sz="0" w:space="0" w:color="auto" w:frame="1"/>
          <w:shd w:val="clear" w:color="auto" w:fill="FFFFFF"/>
        </w:rPr>
      </w:pPr>
    </w:p>
    <w:p w:rsidR="005F2E77" w:rsidRDefault="005F2E77" w:rsidP="005F2E77">
      <w:pPr>
        <w:pStyle w:val="NormalWeb"/>
        <w:shd w:val="clear" w:color="auto" w:fill="FFFFFF"/>
        <w:spacing w:before="0" w:beforeAutospacing="0" w:after="150" w:afterAutospacing="0"/>
        <w:textAlignment w:val="baseline"/>
        <w:rPr>
          <w:rStyle w:val="Forte"/>
          <w:rFonts w:ascii="Trebuchet MS" w:hAnsi="Trebuchet MS"/>
          <w:color w:val="555555"/>
          <w:bdr w:val="none" w:sz="0" w:space="0" w:color="auto" w:frame="1"/>
          <w:shd w:val="clear" w:color="auto" w:fill="FFFFFF"/>
        </w:rPr>
      </w:pPr>
    </w:p>
    <w:p w:rsidR="005F2E77" w:rsidRDefault="005F2E77" w:rsidP="005F2E77">
      <w:pPr>
        <w:pStyle w:val="NormalWeb"/>
        <w:shd w:val="clear" w:color="auto" w:fill="FFFFFF"/>
        <w:spacing w:before="0" w:beforeAutospacing="0" w:after="150" w:afterAutospacing="0"/>
        <w:textAlignment w:val="baseline"/>
        <w:rPr>
          <w:rStyle w:val="Forte"/>
          <w:rFonts w:ascii="Trebuchet MS" w:hAnsi="Trebuchet MS"/>
          <w:color w:val="555555"/>
          <w:bdr w:val="none" w:sz="0" w:space="0" w:color="auto" w:frame="1"/>
          <w:shd w:val="clear" w:color="auto" w:fill="FFFFFF"/>
        </w:rPr>
      </w:pPr>
    </w:p>
    <w:p w:rsidR="005F2E77" w:rsidRDefault="005F2E77" w:rsidP="005F2E77">
      <w:pPr>
        <w:pStyle w:val="NormalWeb"/>
        <w:shd w:val="clear" w:color="auto" w:fill="FFFFFF"/>
        <w:spacing w:before="0" w:beforeAutospacing="0" w:after="150" w:afterAutospacing="0"/>
        <w:textAlignment w:val="baseline"/>
        <w:rPr>
          <w:rStyle w:val="Forte"/>
          <w:rFonts w:ascii="Trebuchet MS" w:hAnsi="Trebuchet MS"/>
          <w:color w:val="555555"/>
          <w:bdr w:val="none" w:sz="0" w:space="0" w:color="auto" w:frame="1"/>
          <w:shd w:val="clear" w:color="auto" w:fill="FFFFFF"/>
        </w:rPr>
      </w:pPr>
    </w:p>
    <w:p w:rsidR="005F2E77" w:rsidRDefault="005F2E77" w:rsidP="005F2E77">
      <w:pPr>
        <w:pStyle w:val="NormalWeb"/>
        <w:shd w:val="clear" w:color="auto" w:fill="FFFFFF"/>
        <w:spacing w:before="0" w:beforeAutospacing="0" w:after="150" w:afterAutospacing="0"/>
        <w:textAlignment w:val="baseline"/>
        <w:rPr>
          <w:rStyle w:val="Forte"/>
          <w:rFonts w:ascii="Trebuchet MS" w:hAnsi="Trebuchet MS"/>
          <w:color w:val="555555"/>
          <w:bdr w:val="none" w:sz="0" w:space="0" w:color="auto" w:frame="1"/>
          <w:shd w:val="clear" w:color="auto" w:fill="FFFFFF"/>
        </w:rPr>
      </w:pPr>
    </w:p>
    <w:p w:rsidR="005F2E77" w:rsidRDefault="005F2E77" w:rsidP="005F2E77">
      <w:pPr>
        <w:pStyle w:val="NormalWeb"/>
        <w:shd w:val="clear" w:color="auto" w:fill="FFFFFF"/>
        <w:spacing w:before="0" w:beforeAutospacing="0" w:after="150" w:afterAutospacing="0"/>
        <w:textAlignment w:val="baseline"/>
        <w:rPr>
          <w:rStyle w:val="Forte"/>
          <w:rFonts w:ascii="Trebuchet MS" w:hAnsi="Trebuchet MS"/>
          <w:color w:val="555555"/>
          <w:bdr w:val="none" w:sz="0" w:space="0" w:color="auto" w:frame="1"/>
          <w:shd w:val="clear" w:color="auto" w:fill="FFFFFF"/>
        </w:rPr>
      </w:pPr>
    </w:p>
    <w:p w:rsidR="005F2E77" w:rsidRDefault="005F2E77" w:rsidP="005F2E77">
      <w:pPr>
        <w:pStyle w:val="NormalWeb"/>
        <w:shd w:val="clear" w:color="auto" w:fill="FFFFFF"/>
        <w:spacing w:before="0" w:beforeAutospacing="0" w:after="150" w:afterAutospacing="0"/>
        <w:textAlignment w:val="baseline"/>
        <w:rPr>
          <w:rStyle w:val="Forte"/>
          <w:rFonts w:ascii="Trebuchet MS" w:hAnsi="Trebuchet MS"/>
          <w:color w:val="555555"/>
          <w:bdr w:val="none" w:sz="0" w:space="0" w:color="auto" w:frame="1"/>
          <w:shd w:val="clear" w:color="auto" w:fill="FFFFFF"/>
        </w:rPr>
      </w:pPr>
      <w:r>
        <w:rPr>
          <w:rStyle w:val="Forte"/>
          <w:rFonts w:ascii="Trebuchet MS" w:hAnsi="Trebuchet MS"/>
          <w:color w:val="555555"/>
          <w:bdr w:val="none" w:sz="0" w:space="0" w:color="auto" w:frame="1"/>
          <w:shd w:val="clear" w:color="auto" w:fill="FFFFFF"/>
        </w:rPr>
        <w:lastRenderedPageBreak/>
        <w:t>Ambulatório de Hospital Geral com Centro de Alta Complexidade em Oncologia I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sz w:val="21"/>
          <w:szCs w:val="21"/>
          <w:shd w:val="clear" w:color="auto" w:fill="FFFFFF"/>
        </w:rPr>
      </w:pPr>
      <w:r>
        <w:rPr>
          <w:rFonts w:ascii="Trebuchet MS" w:hAnsi="Trebuchet MS"/>
          <w:color w:val="555555"/>
          <w:sz w:val="21"/>
          <w:szCs w:val="21"/>
          <w:shd w:val="clear" w:color="auto" w:fill="FFFFFF"/>
        </w:rPr>
        <w:t>Hospital Geral em que se procede ao diagnóstico e tratamento das neoplasias malignas mais frequentes no Brasil. Oferecem tratamento para:</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noProof/>
        </w:rPr>
        <w:drawing>
          <wp:inline distT="0" distB="0" distL="0" distR="0" wp14:anchorId="3E01136A" wp14:editId="69B93864">
            <wp:extent cx="5400040" cy="1501775"/>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501775"/>
                    </a:xfrm>
                    <a:prstGeom prst="rect">
                      <a:avLst/>
                    </a:prstGeom>
                  </pic:spPr>
                </pic:pic>
              </a:graphicData>
            </a:graphic>
          </wp:inline>
        </w:drawing>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Ambulatório de Centro de Alta Complexidade em Oncologia II</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Unidade dedicada prioritariamente ao controle do câncer, desenvolvendo ações de prevenção, detecção precoce, diagnóstico e tratamento das neoplasias malignas mais frequentes no Brasil.</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noProof/>
        </w:rPr>
        <w:drawing>
          <wp:inline distT="0" distB="0" distL="0" distR="0" wp14:anchorId="3CF565DB" wp14:editId="138C96B2">
            <wp:extent cx="5400040" cy="150812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08125"/>
                    </a:xfrm>
                    <a:prstGeom prst="rect">
                      <a:avLst/>
                    </a:prstGeom>
                  </pic:spPr>
                </pic:pic>
              </a:graphicData>
            </a:graphic>
          </wp:inline>
        </w:drawing>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destaques"/>
        <w:shd w:val="clear" w:color="auto" w:fill="FFFFFF"/>
        <w:spacing w:before="0" w:beforeAutospacing="0" w:after="0" w:afterAutospacing="0"/>
        <w:textAlignment w:val="baseline"/>
        <w:rPr>
          <w:rFonts w:ascii="Trebuchet MS" w:hAnsi="Trebuchet MS"/>
          <w:b/>
          <w:bCs/>
          <w:color w:val="555555"/>
        </w:rPr>
      </w:pPr>
      <w:r>
        <w:rPr>
          <w:rStyle w:val="Forte"/>
          <w:rFonts w:ascii="inherit" w:hAnsi="inherit"/>
          <w:color w:val="555555"/>
          <w:bdr w:val="none" w:sz="0" w:space="0" w:color="auto" w:frame="1"/>
        </w:rPr>
        <w:t>Ambulatório de Centro de Alta Complexidade em Oncologia III</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Unidade dedicada exclusivamente ao controle do câncer, desenvolvendo ações de:</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noProof/>
        </w:rPr>
        <w:drawing>
          <wp:inline distT="0" distB="0" distL="0" distR="0" wp14:anchorId="4576E26B" wp14:editId="2E823C2E">
            <wp:extent cx="5400040" cy="88392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883920"/>
                    </a:xfrm>
                    <a:prstGeom prst="rect">
                      <a:avLst/>
                    </a:prstGeom>
                  </pic:spPr>
                </pic:pic>
              </a:graphicData>
            </a:graphic>
          </wp:inline>
        </w:drawing>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r>
        <w:rPr>
          <w:rFonts w:ascii="Trebuchet MS" w:hAnsi="Trebuchet MS"/>
          <w:color w:val="555555"/>
        </w:rPr>
        <w:t xml:space="preserve">FONTES: </w:t>
      </w:r>
    </w:p>
    <w:p w:rsidR="005F2E77" w:rsidRDefault="005F2E77" w:rsidP="005F2E77">
      <w:pPr>
        <w:pStyle w:val="NormalWeb"/>
        <w:shd w:val="clear" w:color="auto" w:fill="FFFFFF"/>
        <w:spacing w:before="0" w:beforeAutospacing="0" w:after="150" w:afterAutospacing="0"/>
        <w:textAlignment w:val="baseline"/>
        <w:rPr>
          <w:rFonts w:ascii="Trebuchet MS" w:hAnsi="Trebuchet MS"/>
          <w:color w:val="555555"/>
        </w:rPr>
      </w:pPr>
      <w:hyperlink r:id="rId27" w:history="1">
        <w:r w:rsidRPr="00BD691C">
          <w:rPr>
            <w:rStyle w:val="Hyperlink"/>
            <w:rFonts w:ascii="Trebuchet MS" w:hAnsi="Trebuchet MS"/>
          </w:rPr>
          <w:t>http://www.sautil.com.br/fique-ligado-no-sus/procedimentos-e-servicos/conteudo/unidades-de-saude</w:t>
        </w:r>
      </w:hyperlink>
    </w:p>
    <w:p w:rsidR="00496F79" w:rsidRDefault="005F2E77" w:rsidP="005F2E77">
      <w:pPr>
        <w:pStyle w:val="NormalWeb"/>
        <w:shd w:val="clear" w:color="auto" w:fill="FFFFFF"/>
        <w:spacing w:before="0" w:beforeAutospacing="0" w:after="150" w:afterAutospacing="0"/>
        <w:textAlignment w:val="baseline"/>
        <w:rPr>
          <w:rFonts w:ascii="Trebuchet MS" w:hAnsi="Trebuchet MS"/>
          <w:color w:val="555555"/>
        </w:rPr>
      </w:pPr>
      <w:hyperlink r:id="rId28" w:history="1">
        <w:r w:rsidRPr="00BD691C">
          <w:rPr>
            <w:rStyle w:val="Hyperlink"/>
            <w:rFonts w:ascii="Trebuchet MS" w:hAnsi="Trebuchet MS"/>
          </w:rPr>
          <w:t>http://www.prefeitura.sp.gov.br/cidade/secretarias/upload/arquivos/secretarias/saude/organizacao/0005/Unid_Munic_Saude_Zona.pdf</w:t>
        </w:r>
      </w:hyperlink>
    </w:p>
    <w:p w:rsidR="00496F79" w:rsidRPr="005B33E4" w:rsidRDefault="005F2E77" w:rsidP="005B33E4">
      <w:pPr>
        <w:pStyle w:val="NormalWeb"/>
        <w:shd w:val="clear" w:color="auto" w:fill="FFFFFF"/>
        <w:spacing w:before="0" w:beforeAutospacing="0" w:after="150" w:afterAutospacing="0"/>
        <w:textAlignment w:val="baseline"/>
        <w:rPr>
          <w:rFonts w:ascii="Trebuchet MS" w:hAnsi="Trebuchet MS"/>
          <w:color w:val="555555"/>
          <w:u w:val="single"/>
        </w:rPr>
      </w:pPr>
      <w:r>
        <w:rPr>
          <w:rFonts w:ascii="Trebuchet MS" w:hAnsi="Trebuchet MS"/>
          <w:color w:val="555555"/>
        </w:rPr>
        <w:t xml:space="preserve">no </w:t>
      </w:r>
      <w:proofErr w:type="spellStart"/>
      <w:r>
        <w:rPr>
          <w:rFonts w:ascii="Trebuchet MS" w:hAnsi="Trebuchet MS"/>
          <w:color w:val="555555"/>
        </w:rPr>
        <w:t>pdf</w:t>
      </w:r>
      <w:proofErr w:type="spellEnd"/>
      <w:r>
        <w:rPr>
          <w:rFonts w:ascii="Trebuchet MS" w:hAnsi="Trebuchet MS"/>
          <w:color w:val="555555"/>
        </w:rPr>
        <w:t xml:space="preserve"> possui as localizações de cada unidade divididos por Zona e bairro</w:t>
      </w:r>
      <w:r w:rsidR="005B33E4">
        <w:rPr>
          <w:rFonts w:ascii="Trebuchet MS" w:hAnsi="Trebuchet MS"/>
          <w:color w:val="555555"/>
        </w:rPr>
        <w:t>.</w:t>
      </w:r>
      <w:bookmarkStart w:id="0" w:name="_GoBack"/>
      <w:bookmarkEnd w:id="0"/>
    </w:p>
    <w:sectPr w:rsidR="00496F79" w:rsidRPr="005B33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79"/>
    <w:rsid w:val="00496F79"/>
    <w:rsid w:val="005B33E4"/>
    <w:rsid w:val="005F2E77"/>
    <w:rsid w:val="009047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DF7A"/>
  <w15:chartTrackingRefBased/>
  <w15:docId w15:val="{7AA9E65D-8301-4F52-9F57-D114E6A7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96F79"/>
    <w:rPr>
      <w:b/>
      <w:bCs/>
    </w:rPr>
  </w:style>
  <w:style w:type="paragraph" w:styleId="NormalWeb">
    <w:name w:val="Normal (Web)"/>
    <w:basedOn w:val="Normal"/>
    <w:uiPriority w:val="99"/>
    <w:unhideWhenUsed/>
    <w:rsid w:val="00496F7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destaques">
    <w:name w:val="destaques"/>
    <w:basedOn w:val="Normal"/>
    <w:rsid w:val="005F2E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5F2E77"/>
    <w:rPr>
      <w:color w:val="0563C1" w:themeColor="hyperlink"/>
      <w:u w:val="single"/>
    </w:rPr>
  </w:style>
  <w:style w:type="character" w:styleId="MenoPendente">
    <w:name w:val="Unresolved Mention"/>
    <w:basedOn w:val="Fontepargpadro"/>
    <w:uiPriority w:val="99"/>
    <w:semiHidden/>
    <w:unhideWhenUsed/>
    <w:rsid w:val="005F2E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55961">
      <w:bodyDiv w:val="1"/>
      <w:marLeft w:val="0"/>
      <w:marRight w:val="0"/>
      <w:marTop w:val="0"/>
      <w:marBottom w:val="0"/>
      <w:divBdr>
        <w:top w:val="none" w:sz="0" w:space="0" w:color="auto"/>
        <w:left w:val="none" w:sz="0" w:space="0" w:color="auto"/>
        <w:bottom w:val="none" w:sz="0" w:space="0" w:color="auto"/>
        <w:right w:val="none" w:sz="0" w:space="0" w:color="auto"/>
      </w:divBdr>
    </w:div>
    <w:div w:id="376702172">
      <w:bodyDiv w:val="1"/>
      <w:marLeft w:val="0"/>
      <w:marRight w:val="0"/>
      <w:marTop w:val="0"/>
      <w:marBottom w:val="0"/>
      <w:divBdr>
        <w:top w:val="none" w:sz="0" w:space="0" w:color="auto"/>
        <w:left w:val="none" w:sz="0" w:space="0" w:color="auto"/>
        <w:bottom w:val="none" w:sz="0" w:space="0" w:color="auto"/>
        <w:right w:val="none" w:sz="0" w:space="0" w:color="auto"/>
      </w:divBdr>
    </w:div>
    <w:div w:id="424620703">
      <w:bodyDiv w:val="1"/>
      <w:marLeft w:val="0"/>
      <w:marRight w:val="0"/>
      <w:marTop w:val="0"/>
      <w:marBottom w:val="0"/>
      <w:divBdr>
        <w:top w:val="none" w:sz="0" w:space="0" w:color="auto"/>
        <w:left w:val="none" w:sz="0" w:space="0" w:color="auto"/>
        <w:bottom w:val="none" w:sz="0" w:space="0" w:color="auto"/>
        <w:right w:val="none" w:sz="0" w:space="0" w:color="auto"/>
      </w:divBdr>
    </w:div>
    <w:div w:id="435370907">
      <w:bodyDiv w:val="1"/>
      <w:marLeft w:val="0"/>
      <w:marRight w:val="0"/>
      <w:marTop w:val="0"/>
      <w:marBottom w:val="0"/>
      <w:divBdr>
        <w:top w:val="none" w:sz="0" w:space="0" w:color="auto"/>
        <w:left w:val="none" w:sz="0" w:space="0" w:color="auto"/>
        <w:bottom w:val="none" w:sz="0" w:space="0" w:color="auto"/>
        <w:right w:val="none" w:sz="0" w:space="0" w:color="auto"/>
      </w:divBdr>
    </w:div>
    <w:div w:id="469591104">
      <w:bodyDiv w:val="1"/>
      <w:marLeft w:val="0"/>
      <w:marRight w:val="0"/>
      <w:marTop w:val="0"/>
      <w:marBottom w:val="0"/>
      <w:divBdr>
        <w:top w:val="none" w:sz="0" w:space="0" w:color="auto"/>
        <w:left w:val="none" w:sz="0" w:space="0" w:color="auto"/>
        <w:bottom w:val="none" w:sz="0" w:space="0" w:color="auto"/>
        <w:right w:val="none" w:sz="0" w:space="0" w:color="auto"/>
      </w:divBdr>
    </w:div>
    <w:div w:id="596133492">
      <w:bodyDiv w:val="1"/>
      <w:marLeft w:val="0"/>
      <w:marRight w:val="0"/>
      <w:marTop w:val="0"/>
      <w:marBottom w:val="0"/>
      <w:divBdr>
        <w:top w:val="none" w:sz="0" w:space="0" w:color="auto"/>
        <w:left w:val="none" w:sz="0" w:space="0" w:color="auto"/>
        <w:bottom w:val="none" w:sz="0" w:space="0" w:color="auto"/>
        <w:right w:val="none" w:sz="0" w:space="0" w:color="auto"/>
      </w:divBdr>
    </w:div>
    <w:div w:id="876622768">
      <w:bodyDiv w:val="1"/>
      <w:marLeft w:val="0"/>
      <w:marRight w:val="0"/>
      <w:marTop w:val="0"/>
      <w:marBottom w:val="0"/>
      <w:divBdr>
        <w:top w:val="none" w:sz="0" w:space="0" w:color="auto"/>
        <w:left w:val="none" w:sz="0" w:space="0" w:color="auto"/>
        <w:bottom w:val="none" w:sz="0" w:space="0" w:color="auto"/>
        <w:right w:val="none" w:sz="0" w:space="0" w:color="auto"/>
      </w:divBdr>
    </w:div>
    <w:div w:id="1206140881">
      <w:bodyDiv w:val="1"/>
      <w:marLeft w:val="0"/>
      <w:marRight w:val="0"/>
      <w:marTop w:val="0"/>
      <w:marBottom w:val="0"/>
      <w:divBdr>
        <w:top w:val="none" w:sz="0" w:space="0" w:color="auto"/>
        <w:left w:val="none" w:sz="0" w:space="0" w:color="auto"/>
        <w:bottom w:val="none" w:sz="0" w:space="0" w:color="auto"/>
        <w:right w:val="none" w:sz="0" w:space="0" w:color="auto"/>
      </w:divBdr>
    </w:div>
    <w:div w:id="1767775255">
      <w:bodyDiv w:val="1"/>
      <w:marLeft w:val="0"/>
      <w:marRight w:val="0"/>
      <w:marTop w:val="0"/>
      <w:marBottom w:val="0"/>
      <w:divBdr>
        <w:top w:val="none" w:sz="0" w:space="0" w:color="auto"/>
        <w:left w:val="none" w:sz="0" w:space="0" w:color="auto"/>
        <w:bottom w:val="none" w:sz="0" w:space="0" w:color="auto"/>
        <w:right w:val="none" w:sz="0" w:space="0" w:color="auto"/>
      </w:divBdr>
    </w:div>
    <w:div w:id="1806506614">
      <w:bodyDiv w:val="1"/>
      <w:marLeft w:val="0"/>
      <w:marRight w:val="0"/>
      <w:marTop w:val="0"/>
      <w:marBottom w:val="0"/>
      <w:divBdr>
        <w:top w:val="none" w:sz="0" w:space="0" w:color="auto"/>
        <w:left w:val="none" w:sz="0" w:space="0" w:color="auto"/>
        <w:bottom w:val="none" w:sz="0" w:space="0" w:color="auto"/>
        <w:right w:val="none" w:sz="0" w:space="0" w:color="auto"/>
      </w:divBdr>
    </w:div>
    <w:div w:id="1832943324">
      <w:bodyDiv w:val="1"/>
      <w:marLeft w:val="0"/>
      <w:marRight w:val="0"/>
      <w:marTop w:val="0"/>
      <w:marBottom w:val="0"/>
      <w:divBdr>
        <w:top w:val="none" w:sz="0" w:space="0" w:color="auto"/>
        <w:left w:val="none" w:sz="0" w:space="0" w:color="auto"/>
        <w:bottom w:val="none" w:sz="0" w:space="0" w:color="auto"/>
        <w:right w:val="none" w:sz="0" w:space="0" w:color="auto"/>
      </w:divBdr>
    </w:div>
    <w:div w:id="1972251304">
      <w:bodyDiv w:val="1"/>
      <w:marLeft w:val="0"/>
      <w:marRight w:val="0"/>
      <w:marTop w:val="0"/>
      <w:marBottom w:val="0"/>
      <w:divBdr>
        <w:top w:val="none" w:sz="0" w:space="0" w:color="auto"/>
        <w:left w:val="none" w:sz="0" w:space="0" w:color="auto"/>
        <w:bottom w:val="none" w:sz="0" w:space="0" w:color="auto"/>
        <w:right w:val="none" w:sz="0" w:space="0" w:color="auto"/>
      </w:divBdr>
    </w:div>
    <w:div w:id="2037923290">
      <w:bodyDiv w:val="1"/>
      <w:marLeft w:val="0"/>
      <w:marRight w:val="0"/>
      <w:marTop w:val="0"/>
      <w:marBottom w:val="0"/>
      <w:divBdr>
        <w:top w:val="none" w:sz="0" w:space="0" w:color="auto"/>
        <w:left w:val="none" w:sz="0" w:space="0" w:color="auto"/>
        <w:bottom w:val="none" w:sz="0" w:space="0" w:color="auto"/>
        <w:right w:val="none" w:sz="0" w:space="0" w:color="auto"/>
      </w:divBdr>
    </w:div>
    <w:div w:id="20670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www.prefeitura.sp.gov.br/cidade/secretarias/upload/arquivos/secretarias/saude/organizacao/0005/Unid_Munic_Saude_Zona.pdf" TargetMode="Externa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http://www.sautil.com.br/fique-ligado-no-sus/procedimentos-e-servicos/conteudo/unidades-de-saude"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1597</Words>
  <Characters>8625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MELO GONZAGA</dc:creator>
  <cp:keywords/>
  <dc:description/>
  <cp:lastModifiedBy>DIEGO DE MELO GONZAGA</cp:lastModifiedBy>
  <cp:revision>1</cp:revision>
  <dcterms:created xsi:type="dcterms:W3CDTF">2017-11-18T00:50:00Z</dcterms:created>
  <dcterms:modified xsi:type="dcterms:W3CDTF">2017-11-18T01:15:00Z</dcterms:modified>
</cp:coreProperties>
</file>