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 w:after="60"/>
      </w:pPr>
      <w:r>
        <w:rPr>
          <w:rFonts w:ascii="Calibri" w:hAnsi="Calibri"/>
          <w:b/>
          <w:i w:val="0"/>
          <w:color w:val="2E74B5"/>
          <w:sz w:val="20"/>
        </w:rPr>
        <w:t>EDGEIMCI</w:t>
      </w:r>
    </w:p>
    <w:p>
      <w:pPr>
        <w:spacing w:before="0" w:after="100"/>
      </w:pPr>
      <w:r>
        <w:rPr>
          <w:rFonts w:ascii="Calibri" w:hAnsi="Calibri"/>
          <w:b/>
          <w:i w:val="0"/>
          <w:color w:val="172B3A"/>
          <w:sz w:val="46"/>
        </w:rPr>
        <w:t>Experiment Operations &amp; Tracking Plan</w:t>
      </w:r>
    </w:p>
    <w:p>
      <w:pPr>
        <w:spacing w:after="200"/>
      </w:pPr>
      <w:r>
        <w:rPr>
          <w:rFonts w:ascii="Calibri" w:hAnsi="Calibri"/>
          <w:b w:val="0"/>
          <w:i w:val="0"/>
          <w:color w:val="5F6B76"/>
          <w:sz w:val="25"/>
        </w:rPr>
        <w:t>A lightweight operating system for reproducible, environment-aware experimental evidence</w:t>
      </w:r>
    </w:p>
    <w:p>
      <w:pPr>
        <w:spacing w:after="240"/>
      </w:pPr>
      <w:r>
        <w:rPr>
          <w:rFonts w:ascii="Calibri" w:hAnsi="Calibri"/>
          <w:b/>
          <w:i w:val="0"/>
          <w:color w:val="1F4D78"/>
          <w:sz w:val="19"/>
        </w:rPr>
        <w:t xml:space="preserve">Status: </w:t>
      </w:r>
      <w:r>
        <w:rPr>
          <w:rFonts w:ascii="Calibri" w:hAnsi="Calibri"/>
          <w:b w:val="0"/>
          <w:i w:val="0"/>
          <w:color w:val="5F6B76"/>
          <w:sz w:val="19"/>
        </w:rPr>
        <w:t>Working plan based on current campaign decisions; scope excludes the domain-expert clinical questionnaire.</w:t>
      </w:r>
    </w:p>
    <w:tbl>
      <w:tblPr>
        <w:tblW w:type="dxa" w:w="9360"/>
        <w:jc w:val="left"/>
        <w:tblLayout w:type="fixed"/>
        <w:tblLook w:firstColumn="1" w:firstRow="1" w:lastColumn="0" w:lastRow="0" w:noHBand="0" w:noVBand="1" w:val="04A0"/>
        <w:tblInd w:w="120" w:type="dxa"/>
        <w:tblBorders>
          <w:top w:val="single" w:sz="3" w:space="0" w:color="E8EEF5"/>
          <w:left w:val="single" w:sz="3" w:space="0" w:color="E8EEF5"/>
          <w:bottom w:val="single" w:sz="3" w:space="0" w:color="E8EEF5"/>
          <w:right w:val="single" w:sz="3" w:space="0" w:color="E8EEF5"/>
          <w:insideH w:val="single" w:sz="3" w:space="0" w:color="E8EEF5"/>
          <w:insideV w:val="single" w:sz="3" w:space="0" w:color="E8EEF5"/>
        </w:tblBorders>
      </w:tblPr>
      <w:tblGrid>
        <w:gridCol w:w="9360"/>
      </w:tblGrid>
      <w:tr>
        <w:tc>
          <w:tcPr>
            <w:tcW w:type="dxa" w:w="9360"/>
            <w:tcMar>
              <w:top w:w="80" w:type="dxa"/>
              <w:start w:w="120" w:type="dxa"/>
              <w:bottom w:w="80" w:type="dxa"/>
              <w:end w:w="120" w:type="dxa"/>
            </w:tcMar>
            <w:shd w:fill="E8EEF5"/>
          </w:tcPr>
          <w:p>
            <w:pPr>
              <w:spacing w:after="0"/>
            </w:pPr>
            <w:r>
              <w:rPr>
                <w:rFonts w:ascii="Calibri" w:hAnsi="Calibri"/>
                <w:b/>
                <w:i w:val="0"/>
                <w:color w:val="1F4D78"/>
                <w:sz w:val="21"/>
              </w:rPr>
              <w:t xml:space="preserve">Operating principle  </w:t>
            </w:r>
            <w:r>
              <w:rPr>
                <w:rFonts w:ascii="Calibri" w:hAnsi="Calibri"/>
                <w:b w:val="0"/>
                <w:i w:val="0"/>
                <w:color w:val="172B3A"/>
                <w:sz w:val="21"/>
              </w:rPr>
              <w:t>Running an experiment should automatically create its evidence. Capture raw usage and provenance at source; derive cost and comparative summaries later.</w:t>
            </w:r>
          </w:p>
        </w:tc>
      </w:tr>
    </w:tbl>
    <w:p>
      <w:pPr>
        <w:spacing w:after="0"/>
      </w:pPr>
    </w:p>
    <w:p>
      <w:pPr>
        <w:pStyle w:val="Heading1"/>
      </w:pPr>
      <w:r>
        <w:t>1. Scope and experiment taxonomy</w:t>
      </w:r>
    </w:p>
    <w:p>
      <w:pPr>
        <w:spacing w:after="120"/>
      </w:pPr>
      <w:r>
        <w:rPr>
          <w:rFonts w:ascii="Calibri" w:hAnsi="Calibri"/>
          <w:b w:val="0"/>
          <w:i w:val="0"/>
          <w:color w:val="172B3A"/>
          <w:sz w:val="22"/>
        </w:rPr>
        <w:t>The registry treats training, evaluation, generation and deployment work as experiments when each has a fixed configuration, inputs, outputs, metrics and reproducibility requirements.</w:t>
      </w:r>
    </w:p>
    <w:p>
      <w:pPr>
        <w:pStyle w:val="ListBullet"/>
        <w:ind w:left="720" w:hanging="360"/>
      </w:pPr>
      <w:r>
        <w:rPr>
          <w:rFonts w:ascii="Calibri" w:hAnsi="Calibri"/>
          <w:b w:val="0"/>
          <w:i w:val="0"/>
          <w:color w:val="172B3A"/>
          <w:sz w:val="21"/>
        </w:rPr>
        <w:t>TRAINING - supervised fine-tuning and capacity/model-size comparisons.</w:t>
      </w:r>
    </w:p>
    <w:p>
      <w:pPr>
        <w:pStyle w:val="ListBullet"/>
        <w:ind w:left="720" w:hanging="360"/>
      </w:pPr>
      <w:r>
        <w:rPr>
          <w:rFonts w:ascii="Calibri" w:hAnsi="Calibri"/>
          <w:b w:val="0"/>
          <w:i w:val="0"/>
          <w:color w:val="172B3A"/>
          <w:sz w:val="21"/>
        </w:rPr>
        <w:t>CLINICAL_EVAL - holistic classification, integrated management, completeness/withholding and urgent-incomplete evaluation.</w:t>
      </w:r>
    </w:p>
    <w:p>
      <w:pPr>
        <w:pStyle w:val="ListBullet"/>
        <w:ind w:left="720" w:hanging="360"/>
      </w:pPr>
      <w:r>
        <w:rPr>
          <w:rFonts w:ascii="Calibri" w:hAnsi="Calibri"/>
          <w:b w:val="0"/>
          <w:i w:val="0"/>
          <w:color w:val="172B3A"/>
          <w:sz w:val="21"/>
        </w:rPr>
        <w:t>SYNTHETIC_GENERATION - teacher, prompt, variant and corpus-scale experiments.</w:t>
      </w:r>
    </w:p>
    <w:p>
      <w:pPr>
        <w:pStyle w:val="ListBullet"/>
        <w:ind w:left="720" w:hanging="360"/>
      </w:pPr>
      <w:r>
        <w:rPr>
          <w:rFonts w:ascii="Calibri" w:hAnsi="Calibri"/>
          <w:b w:val="0"/>
          <w:i w:val="0"/>
          <w:color w:val="172B3A"/>
          <w:sz w:val="21"/>
        </w:rPr>
        <w:t>EDGE_PROFILE - latency, throughput, memory and deployability on target or proxy hardware.</w:t>
      </w:r>
    </w:p>
    <w:p>
      <w:pPr>
        <w:pStyle w:val="ListBullet"/>
        <w:ind w:left="720" w:hanging="360"/>
      </w:pPr>
      <w:r>
        <w:rPr>
          <w:rFonts w:ascii="Calibri" w:hAnsi="Calibri"/>
          <w:b w:val="0"/>
          <w:i w:val="0"/>
          <w:color w:val="172B3A"/>
          <w:sz w:val="21"/>
        </w:rPr>
        <w:t>COMPRESSION - SVD or other checkpoint reduction methods, when justified.</w:t>
      </w:r>
    </w:p>
    <w:p>
      <w:pPr>
        <w:pStyle w:val="ListBullet"/>
        <w:ind w:left="720" w:hanging="360"/>
      </w:pPr>
      <w:r>
        <w:rPr>
          <w:rFonts w:ascii="Calibri" w:hAnsi="Calibri"/>
          <w:b w:val="0"/>
          <w:i w:val="0"/>
          <w:color w:val="172B3A"/>
          <w:sz w:val="21"/>
        </w:rPr>
        <w:t>ALIGNMENT - preference or reinforcement-learning experiments, only if SFT error analysis supports them.</w:t>
      </w:r>
    </w:p>
    <w:p>
      <w:pPr>
        <w:pStyle w:val="ListBullet"/>
        <w:ind w:left="720" w:hanging="360"/>
      </w:pPr>
      <w:r>
        <w:rPr>
          <w:rFonts w:ascii="Calibri" w:hAnsi="Calibri"/>
          <w:b w:val="0"/>
          <w:i w:val="0"/>
          <w:color w:val="172B3A"/>
          <w:sz w:val="21"/>
        </w:rPr>
        <w:t>EXTERNAL_EVAL - optional research evidence outside the hackathon critical path.</w:t>
      </w:r>
    </w:p>
    <w:p>
      <w:pPr>
        <w:pStyle w:val="Heading1"/>
      </w:pPr>
      <w:r>
        <w:t>2. Execution environments</w:t>
      </w:r>
    </w:p>
    <w:tbl>
      <w:tblPr>
        <w:tblStyle w:val="TableGrid"/>
        <w:tblW w:type="dxa" w:w="9360"/>
        <w:tblLayout w:type="fixed"/>
        <w:tblLook w:firstColumn="1" w:firstRow="1" w:lastColumn="0" w:lastRow="0" w:noHBand="0" w:noVBand="1" w:val="04A0"/>
        <w:jc w:val="left"/>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450"/>
        <w:gridCol w:w="1900"/>
        <w:gridCol w:w="1750"/>
        <w:gridCol w:w="2450"/>
        <w:gridCol w:w="1810"/>
      </w:tblGrid>
      <w:tr>
        <w:trPr>
          <w:tblHeader w:val="true"/>
        </w:trPr>
        <w:tc>
          <w:tcPr>
            <w:tcW w:type="dxa" w:w="1450"/>
            <w:tcMar>
              <w:top w:w="80" w:type="dxa"/>
              <w:start w:w="120" w:type="dxa"/>
              <w:bottom w:w="80" w:type="dxa"/>
              <w:end w:w="120" w:type="dxa"/>
            </w:tcMar>
            <w:shd w:fill="E8EEF5"/>
            <w:vAlign w:val="center"/>
          </w:tcPr>
          <w:p>
            <w:pPr>
              <w:spacing w:after="0"/>
              <w:jc w:val="left"/>
            </w:pPr>
            <w:r>
              <w:rPr>
                <w:rFonts w:ascii="Calibri" w:hAnsi="Calibri"/>
                <w:b/>
                <w:i w:val="0"/>
                <w:color w:val="1F4D78"/>
                <w:sz w:val="15"/>
              </w:rPr>
              <w:t>Environment</w:t>
            </w:r>
          </w:p>
        </w:tc>
        <w:tc>
          <w:tcPr>
            <w:tcW w:type="dxa" w:w="1900"/>
            <w:tcMar>
              <w:top w:w="80" w:type="dxa"/>
              <w:start w:w="120" w:type="dxa"/>
              <w:bottom w:w="80" w:type="dxa"/>
              <w:end w:w="120" w:type="dxa"/>
            </w:tcMar>
            <w:shd w:fill="E8EEF5"/>
            <w:vAlign w:val="center"/>
          </w:tcPr>
          <w:p>
            <w:pPr>
              <w:spacing w:after="0"/>
              <w:jc w:val="left"/>
            </w:pPr>
            <w:r>
              <w:rPr>
                <w:rFonts w:ascii="Calibri" w:hAnsi="Calibri"/>
                <w:b/>
                <w:i w:val="0"/>
                <w:color w:val="1F4D78"/>
                <w:sz w:val="15"/>
              </w:rPr>
              <w:t>Primary job</w:t>
            </w:r>
          </w:p>
        </w:tc>
        <w:tc>
          <w:tcPr>
            <w:tcW w:type="dxa" w:w="1750"/>
            <w:tcMar>
              <w:top w:w="80" w:type="dxa"/>
              <w:start w:w="120" w:type="dxa"/>
              <w:bottom w:w="80" w:type="dxa"/>
              <w:end w:w="120" w:type="dxa"/>
            </w:tcMar>
            <w:shd w:fill="E8EEF5"/>
            <w:vAlign w:val="center"/>
          </w:tcPr>
          <w:p>
            <w:pPr>
              <w:spacing w:after="0"/>
              <w:jc w:val="left"/>
            </w:pPr>
            <w:r>
              <w:rPr>
                <w:rFonts w:ascii="Calibri" w:hAnsi="Calibri"/>
                <w:b/>
                <w:i w:val="0"/>
                <w:color w:val="1F4D78"/>
                <w:sz w:val="15"/>
              </w:rPr>
              <w:t>Model/provider</w:t>
            </w:r>
          </w:p>
        </w:tc>
        <w:tc>
          <w:tcPr>
            <w:tcW w:type="dxa" w:w="2450"/>
            <w:tcMar>
              <w:top w:w="80" w:type="dxa"/>
              <w:start w:w="120" w:type="dxa"/>
              <w:bottom w:w="80" w:type="dxa"/>
              <w:end w:w="120" w:type="dxa"/>
            </w:tcMar>
            <w:shd w:fill="E8EEF5"/>
            <w:vAlign w:val="center"/>
          </w:tcPr>
          <w:p>
            <w:pPr>
              <w:spacing w:after="0"/>
              <w:jc w:val="left"/>
            </w:pPr>
            <w:r>
              <w:rPr>
                <w:rFonts w:ascii="Calibri" w:hAnsi="Calibri"/>
                <w:b/>
                <w:i w:val="0"/>
                <w:color w:val="1F4D78"/>
                <w:sz w:val="15"/>
              </w:rPr>
              <w:t>Telemetry that matters</w:t>
            </w:r>
          </w:p>
        </w:tc>
        <w:tc>
          <w:tcPr>
            <w:tcW w:type="dxa" w:w="1810"/>
            <w:tcMar>
              <w:top w:w="80" w:type="dxa"/>
              <w:start w:w="120" w:type="dxa"/>
              <w:bottom w:w="80" w:type="dxa"/>
              <w:end w:w="120" w:type="dxa"/>
            </w:tcMar>
            <w:shd w:fill="E8EEF5"/>
            <w:vAlign w:val="center"/>
          </w:tcPr>
          <w:p>
            <w:pPr>
              <w:spacing w:after="0"/>
              <w:jc w:val="left"/>
            </w:pPr>
            <w:r>
              <w:rPr>
                <w:rFonts w:ascii="Calibri" w:hAnsi="Calibri"/>
                <w:b/>
                <w:i w:val="0"/>
                <w:color w:val="1F4D78"/>
                <w:sz w:val="15"/>
              </w:rPr>
              <w:t>Cost basis</w:t>
            </w:r>
          </w:p>
        </w:tc>
      </w:tr>
      <w:tr>
        <w:tc>
          <w:tcPr>
            <w:tcW w:type="dxa" w:w="1450"/>
            <w:vAlign w:val="center"/>
            <w:tcMar>
              <w:top w:w="80" w:type="dxa"/>
              <w:start w:w="120" w:type="dxa"/>
              <w:bottom w:w="80" w:type="dxa"/>
              <w:end w:w="120" w:type="dxa"/>
            </w:tcMar>
          </w:tcPr>
          <w:p>
            <w:pPr>
              <w:spacing w:after="0" w:line="240" w:lineRule="auto"/>
            </w:pPr>
            <w:r>
              <w:rPr>
                <w:rFonts w:ascii="Calibri" w:hAnsi="Calibri"/>
                <w:b w:val="0"/>
                <w:i w:val="0"/>
                <w:color w:val="172B3A"/>
                <w:sz w:val="15"/>
              </w:rPr>
              <w:t>Local deterministic/dev</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5"/>
              </w:rPr>
              <w:t>Rules, schemas, oracle/corpus work, smoke tests, small evals</w:t>
            </w:r>
          </w:p>
        </w:tc>
        <w:tc>
          <w:tcPr>
            <w:tcW w:type="dxa" w:w="1750"/>
            <w:vAlign w:val="center"/>
            <w:tcMar>
              <w:top w:w="80" w:type="dxa"/>
              <w:start w:w="120" w:type="dxa"/>
              <w:bottom w:w="80" w:type="dxa"/>
              <w:end w:w="120" w:type="dxa"/>
            </w:tcMar>
          </w:tcPr>
          <w:p>
            <w:pPr>
              <w:spacing w:after="0" w:line="240" w:lineRule="auto"/>
            </w:pPr>
            <w:r>
              <w:rPr>
                <w:rFonts w:ascii="Calibri" w:hAnsi="Calibri"/>
                <w:b w:val="0"/>
                <w:i w:val="0"/>
                <w:color w:val="172B3A"/>
                <w:sz w:val="15"/>
              </w:rPr>
              <w:t>No runtime model or local checkpoint</w:t>
            </w:r>
          </w:p>
        </w:tc>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172B3A"/>
                <w:sz w:val="15"/>
              </w:rPr>
              <w:t>Versions, counts, validity, wall time, status</w:t>
            </w:r>
          </w:p>
        </w:tc>
        <w:tc>
          <w:tcPr>
            <w:tcW w:type="dxa" w:w="1810"/>
            <w:vAlign w:val="center"/>
            <w:tcMar>
              <w:top w:w="80" w:type="dxa"/>
              <w:start w:w="120" w:type="dxa"/>
              <w:bottom w:w="80" w:type="dxa"/>
              <w:end w:w="120" w:type="dxa"/>
            </w:tcMar>
          </w:tcPr>
          <w:p>
            <w:pPr>
              <w:spacing w:after="0" w:line="240" w:lineRule="auto"/>
            </w:pPr>
            <w:r>
              <w:rPr>
                <w:rFonts w:ascii="Calibri" w:hAnsi="Calibri"/>
                <w:b w:val="0"/>
                <w:i w:val="0"/>
                <w:color w:val="172B3A"/>
                <w:sz w:val="15"/>
              </w:rPr>
              <w:t>Effectively $0 incremental; record time only when useful</w:t>
            </w:r>
          </w:p>
        </w:tc>
      </w:tr>
      <w:tr>
        <w:tc>
          <w:tcPr>
            <w:tcW w:type="dxa" w:w="14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ASUS / target local</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Deployment reality and repeated edge profiles</w:t>
            </w:r>
          </w:p>
        </w:tc>
        <w:tc>
          <w:tcPr>
            <w:tcW w:type="dxa" w:w="17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Exact deployable checkpoint / GGUF</w:t>
            </w:r>
          </w:p>
        </w:tc>
        <w:tc>
          <w:tcPr>
            <w:tcW w:type="dxa" w:w="24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tok/s, first-token and total latency, peak RAM, model size, hardware/software profile</w:t>
            </w:r>
          </w:p>
        </w:tc>
        <w:tc>
          <w:tcPr>
            <w:tcW w:type="dxa" w:w="181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Compute cost secondary; preserve performance evidence</w:t>
            </w:r>
          </w:p>
        </w:tc>
      </w:tr>
      <w:tr>
        <w:tc>
          <w:tcPr>
            <w:tcW w:type="dxa" w:w="1450"/>
            <w:vAlign w:val="center"/>
            <w:tcMar>
              <w:top w:w="80" w:type="dxa"/>
              <w:start w:w="120" w:type="dxa"/>
              <w:bottom w:w="80" w:type="dxa"/>
              <w:end w:w="120" w:type="dxa"/>
            </w:tcMar>
          </w:tcPr>
          <w:p>
            <w:pPr>
              <w:spacing w:after="0" w:line="240" w:lineRule="auto"/>
            </w:pPr>
            <w:r>
              <w:rPr>
                <w:rFonts w:ascii="Calibri" w:hAnsi="Calibri"/>
                <w:b w:val="0"/>
                <w:i w:val="0"/>
                <w:color w:val="172B3A"/>
                <w:sz w:val="15"/>
              </w:rPr>
              <w:t>Modal</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5"/>
              </w:rPr>
              <w:t>Primary GPU lab for SFT, checkpoint evals and selected self-hosted experiments</w:t>
            </w:r>
          </w:p>
        </w:tc>
        <w:tc>
          <w:tcPr>
            <w:tcW w:type="dxa" w:w="1750"/>
            <w:vAlign w:val="center"/>
            <w:tcMar>
              <w:top w:w="80" w:type="dxa"/>
              <w:start w:w="120" w:type="dxa"/>
              <w:bottom w:w="80" w:type="dxa"/>
              <w:end w:w="120" w:type="dxa"/>
            </w:tcMar>
          </w:tcPr>
          <w:p>
            <w:pPr>
              <w:spacing w:after="0" w:line="240" w:lineRule="auto"/>
            </w:pPr>
            <w:r>
              <w:rPr>
                <w:rFonts w:ascii="Calibri" w:hAnsi="Calibri"/>
                <w:b w:val="0"/>
                <w:i w:val="0"/>
                <w:color w:val="172B3A"/>
                <w:sz w:val="15"/>
              </w:rPr>
              <w:t>Qwen checkpoint; GPU/provider recorded</w:t>
            </w:r>
          </w:p>
        </w:tc>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172B3A"/>
                <w:sz w:val="15"/>
              </w:rPr>
              <w:t>GPU type/time, wall time, config, checkpoint, metrics, artifacts</w:t>
            </w:r>
          </w:p>
        </w:tc>
        <w:tc>
          <w:tcPr>
            <w:tcW w:type="dxa" w:w="1810"/>
            <w:vAlign w:val="center"/>
            <w:tcMar>
              <w:top w:w="80" w:type="dxa"/>
              <w:start w:w="120" w:type="dxa"/>
              <w:bottom w:w="80" w:type="dxa"/>
              <w:end w:w="120" w:type="dxa"/>
            </w:tcMar>
          </w:tcPr>
          <w:p>
            <w:pPr>
              <w:spacing w:after="0" w:line="240" w:lineRule="auto"/>
            </w:pPr>
            <w:r>
              <w:rPr>
                <w:rFonts w:ascii="Calibri" w:hAnsi="Calibri"/>
                <w:b w:val="0"/>
                <w:i w:val="0"/>
                <w:color w:val="172B3A"/>
                <w:sz w:val="15"/>
              </w:rPr>
              <w:t>Billable runtime x versioned machine rate</w:t>
            </w:r>
          </w:p>
        </w:tc>
      </w:tr>
      <w:tr>
        <w:tc>
          <w:tcPr>
            <w:tcW w:type="dxa" w:w="14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External API</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Teacher bake-offs and synthetic language generation</w:t>
            </w:r>
          </w:p>
        </w:tc>
        <w:tc>
          <w:tcPr>
            <w:tcW w:type="dxa" w:w="17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Teacher provider, model and snapshot</w:t>
            </w:r>
          </w:p>
        </w:tc>
        <w:tc>
          <w:tcPr>
            <w:tcW w:type="dxa" w:w="24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Tokens, requests, retries, latency, accept/reject and error codes</w:t>
            </w:r>
          </w:p>
        </w:tc>
        <w:tc>
          <w:tcPr>
            <w:tcW w:type="dxa" w:w="181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Raw usage x versioned API rate card</w:t>
            </w:r>
          </w:p>
        </w:tc>
      </w:tr>
      <w:tr>
        <w:tc>
          <w:tcPr>
            <w:tcW w:type="dxa" w:w="1450"/>
            <w:vAlign w:val="center"/>
            <w:tcMar>
              <w:top w:w="80" w:type="dxa"/>
              <w:start w:w="120" w:type="dxa"/>
              <w:bottom w:w="80" w:type="dxa"/>
              <w:end w:w="120" w:type="dxa"/>
            </w:tcMar>
          </w:tcPr>
          <w:p>
            <w:pPr>
              <w:spacing w:after="0" w:line="240" w:lineRule="auto"/>
            </w:pPr>
            <w:r>
              <w:rPr>
                <w:rFonts w:ascii="Calibri" w:hAnsi="Calibri"/>
                <w:b w:val="0"/>
                <w:i w:val="0"/>
                <w:color w:val="172B3A"/>
                <w:sz w:val="15"/>
              </w:rPr>
              <w:t>Hybrid Modal + API</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5"/>
              </w:rPr>
              <w:t>Pipelines combining hosted generation with GPU validation/training</w:t>
            </w:r>
          </w:p>
        </w:tc>
        <w:tc>
          <w:tcPr>
            <w:tcW w:type="dxa" w:w="1750"/>
            <w:vAlign w:val="center"/>
            <w:tcMar>
              <w:top w:w="80" w:type="dxa"/>
              <w:start w:w="120" w:type="dxa"/>
              <w:bottom w:w="80" w:type="dxa"/>
              <w:end w:w="120" w:type="dxa"/>
            </w:tcMar>
          </w:tcPr>
          <w:p>
            <w:pPr>
              <w:spacing w:after="0" w:line="240" w:lineRule="auto"/>
            </w:pPr>
            <w:r>
              <w:rPr>
                <w:rFonts w:ascii="Calibri" w:hAnsi="Calibri"/>
                <w:b w:val="0"/>
                <w:i w:val="0"/>
                <w:color w:val="172B3A"/>
                <w:sz w:val="15"/>
              </w:rPr>
              <w:t>Teacher API + student/evaluator checkpoint</w:t>
            </w:r>
          </w:p>
        </w:tc>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172B3A"/>
                <w:sz w:val="15"/>
              </w:rPr>
              <w:t>Both API and infrastructure telemetry, linked by run IDs</w:t>
            </w:r>
          </w:p>
        </w:tc>
        <w:tc>
          <w:tcPr>
            <w:tcW w:type="dxa" w:w="1810"/>
            <w:vAlign w:val="center"/>
            <w:tcMar>
              <w:top w:w="80" w:type="dxa"/>
              <w:start w:w="120" w:type="dxa"/>
              <w:bottom w:w="80" w:type="dxa"/>
              <w:end w:w="120" w:type="dxa"/>
            </w:tcMar>
          </w:tcPr>
          <w:p>
            <w:pPr>
              <w:spacing w:after="0" w:line="240" w:lineRule="auto"/>
            </w:pPr>
            <w:r>
              <w:rPr>
                <w:rFonts w:ascii="Calibri" w:hAnsi="Calibri"/>
                <w:b w:val="0"/>
                <w:i w:val="0"/>
                <w:color w:val="172B3A"/>
                <w:sz w:val="15"/>
              </w:rPr>
              <w:t>API usage + Modal runtime; report separately and combined</w:t>
            </w:r>
          </w:p>
        </w:tc>
      </w:tr>
      <w:tr>
        <w:tc>
          <w:tcPr>
            <w:tcW w:type="dxa" w:w="14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Official ADTC</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Final controlled profiling/audit and submission evidence</w:t>
            </w:r>
          </w:p>
        </w:tc>
        <w:tc>
          <w:tcPr>
            <w:tcW w:type="dxa" w:w="17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Submitted artifact</w:t>
            </w:r>
          </w:p>
        </w:tc>
        <w:tc>
          <w:tcPr>
            <w:tcW w:type="dxa" w:w="24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Official profiler outputs plus artifact identity</w:t>
            </w:r>
          </w:p>
        </w:tc>
        <w:tc>
          <w:tcPr>
            <w:tcW w:type="dxa" w:w="181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5"/>
              </w:rPr>
              <w:t>Externally controlled / N/A unless charges arise</w:t>
            </w:r>
          </w:p>
        </w:tc>
      </w:tr>
    </w:tbl>
    <w:p>
      <w:pPr>
        <w:spacing w:after="0"/>
      </w:pPr>
    </w:p>
    <w:p>
      <w:pPr>
        <w:pStyle w:val="Heading1"/>
      </w:pPr>
      <w:r>
        <w:t>3. Operational matrix</w:t>
      </w:r>
    </w:p>
    <w:p>
      <w:pPr>
        <w:spacing w:after="120"/>
      </w:pPr>
      <w:r>
        <w:rPr>
          <w:rFonts w:ascii="Calibri" w:hAnsi="Calibri"/>
          <w:b w:val="0"/>
          <w:i w:val="0"/>
          <w:color w:val="172B3A"/>
          <w:sz w:val="22"/>
        </w:rPr>
        <w:t>This is the scan-first campaign view. Speed and cost are recorded as observed values after execution; no single telemetry schema is forced onto every environment.</w:t>
      </w:r>
    </w:p>
    <w:tbl>
      <w:tblPr>
        <w:tblStyle w:val="TableGrid"/>
        <w:tblW w:type="dxa" w:w="9360"/>
        <w:tblLayout w:type="fixed"/>
        <w:tblLook w:firstColumn="1" w:firstRow="1" w:lastColumn="0" w:lastRow="0" w:noHBand="0" w:noVBand="1" w:val="04A0"/>
        <w:jc w:val="left"/>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350"/>
        <w:gridCol w:w="1050"/>
        <w:gridCol w:w="1350"/>
        <w:gridCol w:w="1900"/>
        <w:gridCol w:w="2250"/>
        <w:gridCol w:w="1460"/>
      </w:tblGrid>
      <w:tr>
        <w:trPr>
          <w:tblHeader w:val="true"/>
        </w:trPr>
        <w:tc>
          <w:tcPr>
            <w:tcW w:type="dxa" w:w="1350"/>
            <w:tcMar>
              <w:top w:w="80" w:type="dxa"/>
              <w:start w:w="120" w:type="dxa"/>
              <w:bottom w:w="80" w:type="dxa"/>
              <w:end w:w="120" w:type="dxa"/>
            </w:tcMar>
            <w:shd w:fill="E8EEF5"/>
            <w:vAlign w:val="center"/>
          </w:tcPr>
          <w:p>
            <w:pPr>
              <w:spacing w:after="0"/>
              <w:jc w:val="left"/>
            </w:pPr>
            <w:r>
              <w:rPr>
                <w:rFonts w:ascii="Calibri" w:hAnsi="Calibri"/>
                <w:b/>
                <w:i w:val="0"/>
                <w:color w:val="1F4D78"/>
                <w:sz w:val="14"/>
              </w:rPr>
              <w:t>Experiment</w:t>
            </w:r>
          </w:p>
        </w:tc>
        <w:tc>
          <w:tcPr>
            <w:tcW w:type="dxa" w:w="1050"/>
            <w:tcMar>
              <w:top w:w="80" w:type="dxa"/>
              <w:start w:w="120" w:type="dxa"/>
              <w:bottom w:w="80" w:type="dxa"/>
              <w:end w:w="120" w:type="dxa"/>
            </w:tcMar>
            <w:shd w:fill="E8EEF5"/>
            <w:vAlign w:val="center"/>
          </w:tcPr>
          <w:p>
            <w:pPr>
              <w:spacing w:after="0"/>
              <w:jc w:val="left"/>
            </w:pPr>
            <w:r>
              <w:rPr>
                <w:rFonts w:ascii="Calibri" w:hAnsi="Calibri"/>
                <w:b/>
                <w:i w:val="0"/>
                <w:color w:val="1F4D78"/>
                <w:sz w:val="14"/>
              </w:rPr>
              <w:t>Where</w:t>
            </w:r>
          </w:p>
        </w:tc>
        <w:tc>
          <w:tcPr>
            <w:tcW w:type="dxa" w:w="1350"/>
            <w:tcMar>
              <w:top w:w="80" w:type="dxa"/>
              <w:start w:w="120" w:type="dxa"/>
              <w:bottom w:w="80" w:type="dxa"/>
              <w:end w:w="120" w:type="dxa"/>
            </w:tcMar>
            <w:shd w:fill="E8EEF5"/>
            <w:vAlign w:val="center"/>
          </w:tcPr>
          <w:p>
            <w:pPr>
              <w:spacing w:after="0"/>
              <w:jc w:val="left"/>
            </w:pPr>
            <w:r>
              <w:rPr>
                <w:rFonts w:ascii="Calibri" w:hAnsi="Calibri"/>
                <w:b/>
                <w:i w:val="0"/>
                <w:color w:val="1F4D78"/>
                <w:sz w:val="14"/>
              </w:rPr>
              <w:t>Model/provider</w:t>
            </w:r>
          </w:p>
        </w:tc>
        <w:tc>
          <w:tcPr>
            <w:tcW w:type="dxa" w:w="1900"/>
            <w:tcMar>
              <w:top w:w="80" w:type="dxa"/>
              <w:start w:w="120" w:type="dxa"/>
              <w:bottom w:w="80" w:type="dxa"/>
              <w:end w:w="120" w:type="dxa"/>
            </w:tcMar>
            <w:shd w:fill="E8EEF5"/>
            <w:vAlign w:val="center"/>
          </w:tcPr>
          <w:p>
            <w:pPr>
              <w:spacing w:after="0"/>
              <w:jc w:val="left"/>
            </w:pPr>
            <w:r>
              <w:rPr>
                <w:rFonts w:ascii="Calibri" w:hAnsi="Calibri"/>
                <w:b/>
                <w:i w:val="0"/>
                <w:color w:val="1F4D78"/>
                <w:sz w:val="14"/>
              </w:rPr>
              <w:t>Scientific result</w:t>
            </w:r>
          </w:p>
        </w:tc>
        <w:tc>
          <w:tcPr>
            <w:tcW w:type="dxa" w:w="2250"/>
            <w:tcMar>
              <w:top w:w="80" w:type="dxa"/>
              <w:start w:w="120" w:type="dxa"/>
              <w:bottom w:w="80" w:type="dxa"/>
              <w:end w:w="120" w:type="dxa"/>
            </w:tcMar>
            <w:shd w:fill="E8EEF5"/>
            <w:vAlign w:val="center"/>
          </w:tcPr>
          <w:p>
            <w:pPr>
              <w:spacing w:after="0"/>
              <w:jc w:val="left"/>
            </w:pPr>
            <w:r>
              <w:rPr>
                <w:rFonts w:ascii="Calibri" w:hAnsi="Calibri"/>
                <w:b/>
                <w:i w:val="0"/>
                <w:color w:val="1F4D78"/>
                <w:sz w:val="14"/>
              </w:rPr>
              <w:t>Auto-captured execution data</w:t>
            </w:r>
          </w:p>
        </w:tc>
        <w:tc>
          <w:tcPr>
            <w:tcW w:type="dxa" w:w="1460"/>
            <w:tcMar>
              <w:top w:w="80" w:type="dxa"/>
              <w:start w:w="120" w:type="dxa"/>
              <w:bottom w:w="80" w:type="dxa"/>
              <w:end w:w="120" w:type="dxa"/>
            </w:tcMar>
            <w:shd w:fill="E8EEF5"/>
            <w:vAlign w:val="center"/>
          </w:tcPr>
          <w:p>
            <w:pPr>
              <w:spacing w:after="0"/>
              <w:jc w:val="left"/>
            </w:pPr>
            <w:r>
              <w:rPr>
                <w:rFonts w:ascii="Calibri" w:hAnsi="Calibri"/>
                <w:b/>
                <w:i w:val="0"/>
                <w:color w:val="1F4D78"/>
                <w:sz w:val="14"/>
              </w:rPr>
              <w:t>Cost character</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Deterministic corpus / oracle</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Local</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None</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Artifact validity; coverage</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Versions, counts, runtime</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$0 incremental</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Golden rendering bake-off</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External API</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2-3 teacher candidates</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Semantic acceptance; language quality</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Prompt/model/usage/retries/latency</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API usage</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Bulk synthetic generation</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API / Azure Batch</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Chosen teacher</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Acceptance; diversity; downstream utility</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Tokens, attempts, errors, throughput</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$/attempt and $/accepted example</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Self-hosted generation alt.</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Modal + vLLM</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Open teacher</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Acceptance; diversity</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GPU/runtime/throughput</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GPU-hours and $/accepted example</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Primary SFT</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Modal</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Qwen3-1.7B</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Student clinical performance</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GPU, config, data, checkpoint, runtime</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$/run; $/1k examples</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Clinical eval</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Local / Modal</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Base or trained checkpoint</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Clinical metric suite</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Checkpoint/eval versions; runtime</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$0 local or Modal runtime</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4B / capacity branch</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Modal</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Qwen3-4B</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Gain versus 1.7B</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Same training/eval provenance</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Higher GPU runtime; conditional</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Qwen3.5 branch</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Tinker</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Supported Qwen3.5 model</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Capacity/post-training result</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Provider config, usage, checkpoint</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Credits/usage; specialist branch</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Preference / RL</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Modal / specialist</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Chosen checkpoint</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Targeted error reduction</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Reward/config/rollout/compute</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Higher; only if justified</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SVD / compression</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Modal / local</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Trained checkpoint</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Quality-size-speed trade-off</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Method/config/artifact/profile</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Variable; optional</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Edge profile</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ASUS</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Exact deployable artifact</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tok/s, RAM, latency, deployability</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Full hardware/software profile</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Compute cost not decision metric</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Quantization</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Build env + ASUS</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Q8/Q6/Q4 only if triggered</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Quality-runtime trade-off</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Representation + matched profiles</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Conditional optimization</w:t>
            </w:r>
          </w:p>
        </w:tc>
      </w:tr>
      <w:tr>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Final profile</w:t>
            </w:r>
          </w:p>
        </w:tc>
        <w:tc>
          <w:tcPr>
            <w:tcW w:type="dxa" w:w="1050"/>
            <w:vAlign w:val="center"/>
            <w:tcMar>
              <w:top w:w="80" w:type="dxa"/>
              <w:start w:w="120" w:type="dxa"/>
              <w:bottom w:w="80" w:type="dxa"/>
              <w:end w:w="120" w:type="dxa"/>
            </w:tcMar>
          </w:tcPr>
          <w:p>
            <w:pPr>
              <w:spacing w:after="0" w:line="240" w:lineRule="auto"/>
            </w:pPr>
            <w:r>
              <w:rPr>
                <w:rFonts w:ascii="Calibri" w:hAnsi="Calibri"/>
                <w:b w:val="0"/>
                <w:i w:val="0"/>
                <w:color w:val="172B3A"/>
                <w:sz w:val="14"/>
              </w:rPr>
              <w:t>Official ADTC</w:t>
            </w:r>
          </w:p>
        </w:tc>
        <w:tc>
          <w:tcPr>
            <w:tcW w:type="dxa" w:w="1350"/>
            <w:vAlign w:val="center"/>
            <w:tcMar>
              <w:top w:w="80" w:type="dxa"/>
              <w:start w:w="120" w:type="dxa"/>
              <w:bottom w:w="80" w:type="dxa"/>
              <w:end w:w="120" w:type="dxa"/>
            </w:tcMar>
          </w:tcPr>
          <w:p>
            <w:pPr>
              <w:spacing w:after="0" w:line="240" w:lineRule="auto"/>
            </w:pPr>
            <w:r>
              <w:rPr>
                <w:rFonts w:ascii="Calibri" w:hAnsi="Calibri"/>
                <w:b w:val="0"/>
                <w:i w:val="0"/>
                <w:color w:val="172B3A"/>
                <w:sz w:val="14"/>
              </w:rPr>
              <w:t>Submitted GGUF</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172B3A"/>
                <w:sz w:val="14"/>
              </w:rPr>
              <w:t>Official challenge evidence</w:t>
            </w:r>
          </w:p>
        </w:tc>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172B3A"/>
                <w:sz w:val="14"/>
              </w:rPr>
              <w:t>Official output + artifact hash</w:t>
            </w:r>
          </w:p>
        </w:tc>
        <w:tc>
          <w:tcPr>
            <w:tcW w:type="dxa" w:w="1460"/>
            <w:vAlign w:val="center"/>
            <w:tcMar>
              <w:top w:w="80" w:type="dxa"/>
              <w:start w:w="120" w:type="dxa"/>
              <w:bottom w:w="80" w:type="dxa"/>
              <w:end w:w="120" w:type="dxa"/>
            </w:tcMar>
          </w:tcPr>
          <w:p>
            <w:pPr>
              <w:spacing w:after="0" w:line="240" w:lineRule="auto"/>
            </w:pPr>
            <w:r>
              <w:rPr>
                <w:rFonts w:ascii="Calibri" w:hAnsi="Calibri"/>
                <w:b w:val="0"/>
                <w:i w:val="0"/>
                <w:color w:val="172B3A"/>
                <w:sz w:val="14"/>
              </w:rPr>
              <w:t>N/A / externally controlled</w:t>
            </w:r>
          </w:p>
        </w:tc>
      </w:tr>
      <w:tr>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Lundin external eval</w:t>
            </w:r>
          </w:p>
        </w:tc>
        <w:tc>
          <w:tcPr>
            <w:tcW w:type="dxa" w:w="1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Local / Modal</w:t>
            </w:r>
          </w:p>
        </w:tc>
        <w:tc>
          <w:tcPr>
            <w:tcW w:type="dxa" w:w="13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Selected checkpoint</w:t>
            </w:r>
          </w:p>
        </w:tc>
        <w:tc>
          <w:tcPr>
            <w:tcW w:type="dxa" w:w="19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Optional generalization evidence</w:t>
            </w:r>
          </w:p>
        </w:tc>
        <w:tc>
          <w:tcPr>
            <w:tcW w:type="dxa" w:w="22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Benchmark revision/scoring/runtime</w:t>
            </w:r>
          </w:p>
        </w:tc>
        <w:tc>
          <w:tcPr>
            <w:tcW w:type="dxa" w:w="14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4"/>
              </w:rPr>
              <w:t>Off critical path</w:t>
            </w:r>
          </w:p>
        </w:tc>
      </w:tr>
    </w:tbl>
    <w:p>
      <w:pPr>
        <w:spacing w:after="0"/>
      </w:pPr>
    </w:p>
    <w:p>
      <w:pPr>
        <w:pStyle w:val="Heading1"/>
      </w:pPr>
      <w:r>
        <w:t>4. Scientific versus operational metrics</w:t>
      </w:r>
    </w:p>
    <w:p>
      <w:pPr>
        <w:spacing w:after="120"/>
      </w:pPr>
      <w:r>
        <w:rPr>
          <w:rFonts w:ascii="Calibri" w:hAnsi="Calibri"/>
          <w:b w:val="0"/>
          <w:i w:val="0"/>
          <w:color w:val="172B3A"/>
          <w:sz w:val="22"/>
        </w:rPr>
        <w:t>Scientific metrics answer whether a change improved the model or dataset. Operational metrics answer what it took to produce that evidence. Both belong to a run, but they should remain distinguishable.</w:t>
      </w:r>
    </w:p>
    <w:tbl>
      <w:tblPr>
        <w:tblStyle w:val="TableGrid"/>
        <w:tblW w:type="dxa" w:w="9360"/>
        <w:tblLayout w:type="fixed"/>
        <w:tblLook w:firstColumn="1" w:firstRow="1" w:lastColumn="0" w:lastRow="0" w:noHBand="0" w:noVBand="1" w:val="04A0"/>
        <w:jc w:val="left"/>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650"/>
        <w:gridCol w:w="4050"/>
        <w:gridCol w:w="3660"/>
      </w:tblGrid>
      <w:tr>
        <w:trPr>
          <w:tblHeader w:val="true"/>
        </w:trPr>
        <w:tc>
          <w:tcPr>
            <w:tcW w:type="dxa" w:w="1650"/>
            <w:tcMar>
              <w:top w:w="80" w:type="dxa"/>
              <w:start w:w="120" w:type="dxa"/>
              <w:bottom w:w="80" w:type="dxa"/>
              <w:end w:w="120" w:type="dxa"/>
            </w:tcMar>
            <w:shd w:fill="E8EEF5"/>
            <w:vAlign w:val="center"/>
          </w:tcPr>
          <w:p>
            <w:pPr>
              <w:spacing w:after="0"/>
              <w:jc w:val="left"/>
            </w:pPr>
            <w:r>
              <w:rPr>
                <w:rFonts w:ascii="Calibri" w:hAnsi="Calibri"/>
                <w:b/>
                <w:i w:val="0"/>
                <w:color w:val="1F4D78"/>
                <w:sz w:val="16"/>
              </w:rPr>
              <w:t>Class</w:t>
            </w:r>
          </w:p>
        </w:tc>
        <w:tc>
          <w:tcPr>
            <w:tcW w:type="dxa" w:w="4050"/>
            <w:tcMar>
              <w:top w:w="80" w:type="dxa"/>
              <w:start w:w="120" w:type="dxa"/>
              <w:bottom w:w="80" w:type="dxa"/>
              <w:end w:w="120" w:type="dxa"/>
            </w:tcMar>
            <w:shd w:fill="E8EEF5"/>
            <w:vAlign w:val="center"/>
          </w:tcPr>
          <w:p>
            <w:pPr>
              <w:spacing w:after="0"/>
              <w:jc w:val="left"/>
            </w:pPr>
            <w:r>
              <w:rPr>
                <w:rFonts w:ascii="Calibri" w:hAnsi="Calibri"/>
                <w:b/>
                <w:i w:val="0"/>
                <w:color w:val="1F4D78"/>
                <w:sz w:val="16"/>
              </w:rPr>
              <w:t>Scientific metrics</w:t>
            </w:r>
          </w:p>
        </w:tc>
        <w:tc>
          <w:tcPr>
            <w:tcW w:type="dxa" w:w="3660"/>
            <w:tcMar>
              <w:top w:w="80" w:type="dxa"/>
              <w:start w:w="120" w:type="dxa"/>
              <w:bottom w:w="80" w:type="dxa"/>
              <w:end w:w="120" w:type="dxa"/>
            </w:tcMar>
            <w:shd w:fill="E8EEF5"/>
            <w:vAlign w:val="center"/>
          </w:tcPr>
          <w:p>
            <w:pPr>
              <w:spacing w:after="0"/>
              <w:jc w:val="left"/>
            </w:pPr>
            <w:r>
              <w:rPr>
                <w:rFonts w:ascii="Calibri" w:hAnsi="Calibri"/>
                <w:b/>
                <w:i w:val="0"/>
                <w:color w:val="1F4D78"/>
                <w:sz w:val="16"/>
              </w:rPr>
              <w:t>Operational/accounting metrics</w:t>
            </w:r>
          </w:p>
        </w:tc>
      </w:tr>
      <w:tr>
        <w:tc>
          <w:tcPr>
            <w:tcW w:type="dxa" w:w="1650"/>
            <w:vAlign w:val="center"/>
            <w:tcMar>
              <w:top w:w="80" w:type="dxa"/>
              <w:start w:w="120" w:type="dxa"/>
              <w:bottom w:w="80" w:type="dxa"/>
              <w:end w:w="120" w:type="dxa"/>
            </w:tcMar>
          </w:tcPr>
          <w:p>
            <w:pPr>
              <w:spacing w:after="0" w:line="240" w:lineRule="auto"/>
            </w:pPr>
            <w:r>
              <w:rPr>
                <w:rFonts w:ascii="Calibri" w:hAnsi="Calibri"/>
                <w:b w:val="0"/>
                <w:i w:val="0"/>
                <w:color w:val="172B3A"/>
                <w:sz w:val="16"/>
              </w:rPr>
              <w:t>Synthetic generation</w:t>
            </w:r>
          </w:p>
        </w:tc>
        <w:tc>
          <w:tcPr>
            <w:tcW w:type="dxa" w:w="4050"/>
            <w:vAlign w:val="center"/>
            <w:tcMar>
              <w:top w:w="80" w:type="dxa"/>
              <w:start w:w="120" w:type="dxa"/>
              <w:bottom w:w="80" w:type="dxa"/>
              <w:end w:w="120" w:type="dxa"/>
            </w:tcMar>
          </w:tcPr>
          <w:p>
            <w:pPr>
              <w:spacing w:after="0" w:line="240" w:lineRule="auto"/>
            </w:pPr>
            <w:r>
              <w:rPr>
                <w:rFonts w:ascii="Calibri" w:hAnsi="Calibri"/>
                <w:b w:val="0"/>
                <w:i w:val="0"/>
                <w:color w:val="172B3A"/>
                <w:sz w:val="16"/>
              </w:rPr>
              <w:t>Acceptance, semantic error codes, diversity, downstream student performance</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172B3A"/>
                <w:sz w:val="16"/>
              </w:rPr>
              <w:t>Attempts, tokens, latency, retries, throughput, raw API usage</w:t>
            </w:r>
          </w:p>
        </w:tc>
      </w:tr>
      <w:tr>
        <w:tc>
          <w:tcPr>
            <w:tcW w:type="dxa" w:w="16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6"/>
              </w:rPr>
              <w:t>Training</w:t>
            </w:r>
          </w:p>
        </w:tc>
        <w:tc>
          <w:tcPr>
            <w:tcW w:type="dxa" w:w="4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6"/>
              </w:rPr>
              <w:t>Loss/learning curves and post-training clinical performance</w:t>
            </w:r>
          </w:p>
        </w:tc>
        <w:tc>
          <w:tcPr>
            <w:tcW w:type="dxa" w:w="36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6"/>
              </w:rPr>
              <w:t>GPU type/time, wall time, examples, checkpoint size, provider usage</w:t>
            </w:r>
          </w:p>
        </w:tc>
      </w:tr>
      <w:tr>
        <w:tc>
          <w:tcPr>
            <w:tcW w:type="dxa" w:w="1650"/>
            <w:vAlign w:val="center"/>
            <w:tcMar>
              <w:top w:w="80" w:type="dxa"/>
              <w:start w:w="120" w:type="dxa"/>
              <w:bottom w:w="80" w:type="dxa"/>
              <w:end w:w="120" w:type="dxa"/>
            </w:tcMar>
          </w:tcPr>
          <w:p>
            <w:pPr>
              <w:spacing w:after="0" w:line="240" w:lineRule="auto"/>
            </w:pPr>
            <w:r>
              <w:rPr>
                <w:rFonts w:ascii="Calibri" w:hAnsi="Calibri"/>
                <w:b w:val="0"/>
                <w:i w:val="0"/>
                <w:color w:val="172B3A"/>
                <w:sz w:val="16"/>
              </w:rPr>
              <w:t>Clinical evaluation</w:t>
            </w:r>
          </w:p>
        </w:tc>
        <w:tc>
          <w:tcPr>
            <w:tcW w:type="dxa" w:w="4050"/>
            <w:vAlign w:val="center"/>
            <w:tcMar>
              <w:top w:w="80" w:type="dxa"/>
              <w:start w:w="120" w:type="dxa"/>
              <w:bottom w:w="80" w:type="dxa"/>
              <w:end w:w="120" w:type="dxa"/>
            </w:tcMar>
          </w:tcPr>
          <w:p>
            <w:pPr>
              <w:spacing w:after="0" w:line="240" w:lineRule="auto"/>
            </w:pPr>
            <w:r>
              <w:rPr>
                <w:rFonts w:ascii="Calibri" w:hAnsi="Calibri"/>
                <w:b w:val="0"/>
                <w:i w:val="0"/>
                <w:color w:val="172B3A"/>
                <w:sz w:val="16"/>
              </w:rPr>
              <w:t>Classification, management, completeness/withholding, urgent-incomplete metrics</w:t>
            </w:r>
          </w:p>
        </w:tc>
        <w:tc>
          <w:tcPr>
            <w:tcW w:type="dxa" w:w="3660"/>
            <w:vAlign w:val="center"/>
            <w:tcMar>
              <w:top w:w="80" w:type="dxa"/>
              <w:start w:w="120" w:type="dxa"/>
              <w:bottom w:w="80" w:type="dxa"/>
              <w:end w:w="120" w:type="dxa"/>
            </w:tcMar>
          </w:tcPr>
          <w:p>
            <w:pPr>
              <w:spacing w:after="0" w:line="240" w:lineRule="auto"/>
            </w:pPr>
            <w:r>
              <w:rPr>
                <w:rFonts w:ascii="Calibri" w:hAnsi="Calibri"/>
                <w:b w:val="0"/>
                <w:i w:val="0"/>
                <w:color w:val="172B3A"/>
                <w:sz w:val="16"/>
              </w:rPr>
              <w:t>Checkpoint/eval identity, denominator, runtime, hardware</w:t>
            </w:r>
          </w:p>
        </w:tc>
      </w:tr>
      <w:tr>
        <w:tc>
          <w:tcPr>
            <w:tcW w:type="dxa" w:w="16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6"/>
              </w:rPr>
              <w:t>Edge deployment</w:t>
            </w:r>
          </w:p>
        </w:tc>
        <w:tc>
          <w:tcPr>
            <w:tcW w:type="dxa" w:w="405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6"/>
              </w:rPr>
              <w:t>Quality retained and deployability</w:t>
            </w:r>
          </w:p>
        </w:tc>
        <w:tc>
          <w:tcPr>
            <w:tcW w:type="dxa" w:w="36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6"/>
              </w:rPr>
              <w:t>tok/s, time-to-first-token, total latency, peak RAM, model size, thermal notes if useful</w:t>
            </w:r>
          </w:p>
        </w:tc>
      </w:tr>
    </w:tbl>
    <w:p>
      <w:pPr>
        <w:spacing w:after="0"/>
      </w:pPr>
    </w:p>
    <w:p>
      <w:pPr>
        <w:pStyle w:val="Heading1"/>
      </w:pPr>
      <w:r>
        <w:t>5. Automatic provenance and run artifacts</w:t>
      </w:r>
    </w:p>
    <w:tbl>
      <w:tblPr>
        <w:tblW w:type="dxa" w:w="9360"/>
        <w:jc w:val="left"/>
        <w:tblLayout w:type="fixed"/>
        <w:tblLook w:firstColumn="1" w:firstRow="1" w:lastColumn="0" w:lastRow="0" w:noHBand="0" w:noVBand="1" w:val="04A0"/>
        <w:tblInd w:w="120" w:type="dxa"/>
        <w:tblBorders>
          <w:top w:val="single" w:sz="3" w:space="0" w:color="E8EEF5"/>
          <w:left w:val="single" w:sz="3" w:space="0" w:color="E8EEF5"/>
          <w:bottom w:val="single" w:sz="3" w:space="0" w:color="E8EEF5"/>
          <w:right w:val="single" w:sz="3" w:space="0" w:color="E8EEF5"/>
          <w:insideH w:val="single" w:sz="3" w:space="0" w:color="E8EEF5"/>
          <w:insideV w:val="single" w:sz="3" w:space="0" w:color="E8EEF5"/>
        </w:tblBorders>
      </w:tblPr>
      <w:tblGrid>
        <w:gridCol w:w="9360"/>
      </w:tblGrid>
      <w:tr>
        <w:tc>
          <w:tcPr>
            <w:tcW w:type="dxa" w:w="9360"/>
            <w:tcMar>
              <w:top w:w="80" w:type="dxa"/>
              <w:start w:w="120" w:type="dxa"/>
              <w:bottom w:w="80" w:type="dxa"/>
              <w:end w:w="120" w:type="dxa"/>
            </w:tcMar>
            <w:shd w:fill="E8EEF5"/>
          </w:tcPr>
          <w:p>
            <w:pPr>
              <w:spacing w:after="0"/>
            </w:pPr>
            <w:r>
              <w:rPr>
                <w:rFonts w:ascii="Calibri" w:hAnsi="Calibri"/>
                <w:b/>
                <w:i w:val="0"/>
                <w:color w:val="1F4D78"/>
                <w:sz w:val="21"/>
              </w:rPr>
              <w:t xml:space="preserve">Minimum rule  </w:t>
            </w:r>
            <w:r>
              <w:rPr>
                <w:rFonts w:ascii="Calibri" w:hAnsi="Calibri"/>
                <w:b w:val="0"/>
                <w:i w:val="0"/>
                <w:color w:val="172B3A"/>
                <w:sz w:val="21"/>
              </w:rPr>
              <w:t>Every runner writes a sidecar record at start and finalizes it on success or failure. Provider adapters add environment-specific telemetry; fields that do not apply remain absent.</w:t>
            </w:r>
          </w:p>
        </w:tc>
      </w:tr>
    </w:tbl>
    <w:p>
      <w:pPr>
        <w:spacing w:after="0"/>
      </w:pPr>
    </w:p>
    <w:tbl>
      <w:tblPr>
        <w:tblStyle w:val="TableGrid"/>
        <w:tblW w:type="dxa" w:w="9360"/>
        <w:tblLayout w:type="fixed"/>
        <w:tblLook w:firstColumn="1" w:firstRow="1" w:lastColumn="0" w:lastRow="0" w:noHBand="0" w:noVBand="1" w:val="04A0"/>
        <w:jc w:val="left"/>
        <w:tblInd w:w="120" w:type="dxa"/>
        <w:tblBorders>
          <w:top w:val="single" w:sz="5" w:space="0" w:color="CBD3DA"/>
          <w:left w:val="single" w:sz="5" w:space="0" w:color="CBD3DA"/>
          <w:bottom w:val="single" w:sz="5" w:space="0" w:color="CBD3DA"/>
          <w:right w:val="single" w:sz="5" w:space="0" w:color="CBD3DA"/>
          <w:insideH w:val="single" w:sz="5" w:space="0" w:color="CBD3DA"/>
          <w:insideV w:val="single" w:sz="5" w:space="0" w:color="CBD3DA"/>
        </w:tblBorders>
      </w:tblPr>
      <w:tblGrid>
        <w:gridCol w:w="1700"/>
        <w:gridCol w:w="7660"/>
      </w:tblGrid>
      <w:tr>
        <w:trPr>
          <w:tblHeader w:val="true"/>
        </w:trPr>
        <w:tc>
          <w:tcPr>
            <w:tcW w:type="dxa" w:w="1700"/>
            <w:tcMar>
              <w:top w:w="80" w:type="dxa"/>
              <w:start w:w="120" w:type="dxa"/>
              <w:bottom w:w="80" w:type="dxa"/>
              <w:end w:w="120" w:type="dxa"/>
            </w:tcMar>
            <w:shd w:fill="E8EEF5"/>
            <w:vAlign w:val="center"/>
          </w:tcPr>
          <w:p>
            <w:pPr>
              <w:spacing w:after="0"/>
              <w:jc w:val="left"/>
            </w:pPr>
            <w:r>
              <w:rPr>
                <w:rFonts w:ascii="Calibri" w:hAnsi="Calibri"/>
                <w:b/>
                <w:i w:val="0"/>
                <w:color w:val="1F4D78"/>
                <w:sz w:val="17"/>
              </w:rPr>
              <w:t>Group</w:t>
            </w:r>
          </w:p>
        </w:tc>
        <w:tc>
          <w:tcPr>
            <w:tcW w:type="dxa" w:w="7660"/>
            <w:tcMar>
              <w:top w:w="80" w:type="dxa"/>
              <w:start w:w="120" w:type="dxa"/>
              <w:bottom w:w="80" w:type="dxa"/>
              <w:end w:w="120" w:type="dxa"/>
            </w:tcMar>
            <w:shd w:fill="E8EEF5"/>
            <w:vAlign w:val="center"/>
          </w:tcPr>
          <w:p>
            <w:pPr>
              <w:spacing w:after="0"/>
              <w:jc w:val="left"/>
            </w:pPr>
            <w:r>
              <w:rPr>
                <w:rFonts w:ascii="Calibri" w:hAnsi="Calibri"/>
                <w:b/>
                <w:i w:val="0"/>
                <w:color w:val="1F4D78"/>
                <w:sz w:val="17"/>
              </w:rPr>
              <w:t>Fields</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172B3A"/>
                <w:sz w:val="17"/>
              </w:rPr>
              <w:t>Identity</w:t>
            </w:r>
          </w:p>
        </w:tc>
        <w:tc>
          <w:tcPr>
            <w:tcW w:type="dxa" w:w="7660"/>
            <w:vAlign w:val="center"/>
            <w:tcMar>
              <w:top w:w="80" w:type="dxa"/>
              <w:start w:w="120" w:type="dxa"/>
              <w:bottom w:w="80" w:type="dxa"/>
              <w:end w:w="120" w:type="dxa"/>
            </w:tcMar>
          </w:tcPr>
          <w:p>
            <w:pPr>
              <w:spacing w:after="0" w:line="240" w:lineRule="auto"/>
            </w:pPr>
            <w:r>
              <w:rPr>
                <w:rFonts w:ascii="Calibri" w:hAnsi="Calibri"/>
                <w:b w:val="0"/>
                <w:i w:val="0"/>
                <w:color w:val="172B3A"/>
                <w:sz w:val="17"/>
              </w:rPr>
              <w:t>run_id, experiment_id, experiment_type, parent_run_id, status</w:t>
            </w:r>
          </w:p>
        </w:tc>
      </w:tr>
      <w:tr>
        <w:tc>
          <w:tcPr>
            <w:tcW w:type="dxa" w:w="17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Model</w:t>
            </w:r>
          </w:p>
        </w:tc>
        <w:tc>
          <w:tcPr>
            <w:tcW w:type="dxa" w:w="76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model_provider, model_id, revision/snapshot, checkpoint_id, checkpoint_hash</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172B3A"/>
                <w:sz w:val="17"/>
              </w:rPr>
              <w:t>Execution</w:t>
            </w:r>
          </w:p>
        </w:tc>
        <w:tc>
          <w:tcPr>
            <w:tcW w:type="dxa" w:w="7660"/>
            <w:vAlign w:val="center"/>
            <w:tcMar>
              <w:top w:w="80" w:type="dxa"/>
              <w:start w:w="120" w:type="dxa"/>
              <w:bottom w:w="80" w:type="dxa"/>
              <w:end w:w="120" w:type="dxa"/>
            </w:tcMar>
          </w:tcPr>
          <w:p>
            <w:pPr>
              <w:spacing w:after="0" w:line="240" w:lineRule="auto"/>
            </w:pPr>
            <w:r>
              <w:rPr>
                <w:rFonts w:ascii="Calibri" w:hAnsi="Calibri"/>
                <w:b w:val="0"/>
                <w:i w:val="0"/>
                <w:color w:val="172B3A"/>
                <w:sz w:val="17"/>
              </w:rPr>
              <w:t>execution_provider, environment, hardware, started_at, finished_at, wall_time</w:t>
            </w:r>
          </w:p>
        </w:tc>
      </w:tr>
      <w:tr>
        <w:tc>
          <w:tcPr>
            <w:tcW w:type="dxa" w:w="17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Inputs</w:t>
            </w:r>
          </w:p>
        </w:tc>
        <w:tc>
          <w:tcPr>
            <w:tcW w:type="dxa" w:w="76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dataset_id/version/hash, split, prompt_id/version/hash, config_id/hash</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172B3A"/>
                <w:sz w:val="17"/>
              </w:rPr>
              <w:t>Code</w:t>
            </w:r>
          </w:p>
        </w:tc>
        <w:tc>
          <w:tcPr>
            <w:tcW w:type="dxa" w:w="7660"/>
            <w:vAlign w:val="center"/>
            <w:tcMar>
              <w:top w:w="80" w:type="dxa"/>
              <w:start w:w="120" w:type="dxa"/>
              <w:bottom w:w="80" w:type="dxa"/>
              <w:end w:w="120" w:type="dxa"/>
            </w:tcMar>
          </w:tcPr>
          <w:p>
            <w:pPr>
              <w:spacing w:after="0" w:line="240" w:lineRule="auto"/>
            </w:pPr>
            <w:r>
              <w:rPr>
                <w:rFonts w:ascii="Calibri" w:hAnsi="Calibri"/>
                <w:b w:val="0"/>
                <w:i w:val="0"/>
                <w:color w:val="172B3A"/>
                <w:sz w:val="17"/>
              </w:rPr>
              <w:t>git_commit, dirty_worktree flag, runner version, dependency/container identity</w:t>
            </w:r>
          </w:p>
        </w:tc>
      </w:tr>
      <w:tr>
        <w:tc>
          <w:tcPr>
            <w:tcW w:type="dxa" w:w="17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Usage</w:t>
            </w:r>
          </w:p>
        </w:tc>
        <w:tc>
          <w:tcPr>
            <w:tcW w:type="dxa" w:w="76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examples, requests, tokens, GPU-seconds, retries, raw provider usage</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172B3A"/>
                <w:sz w:val="17"/>
              </w:rPr>
              <w:t>Outputs</w:t>
            </w:r>
          </w:p>
        </w:tc>
        <w:tc>
          <w:tcPr>
            <w:tcW w:type="dxa" w:w="7660"/>
            <w:vAlign w:val="center"/>
            <w:tcMar>
              <w:top w:w="80" w:type="dxa"/>
              <w:start w:w="120" w:type="dxa"/>
              <w:bottom w:w="80" w:type="dxa"/>
              <w:end w:w="120" w:type="dxa"/>
            </w:tcMar>
          </w:tcPr>
          <w:p>
            <w:pPr>
              <w:spacing w:after="0" w:line="240" w:lineRule="auto"/>
            </w:pPr>
            <w:r>
              <w:rPr>
                <w:rFonts w:ascii="Calibri" w:hAnsi="Calibri"/>
                <w:b w:val="0"/>
                <w:i w:val="0"/>
                <w:color w:val="172B3A"/>
                <w:sz w:val="17"/>
              </w:rPr>
              <w:t>metrics, error codes, artifact paths/hashes, logs and exception state</w:t>
            </w:r>
          </w:p>
        </w:tc>
      </w:tr>
      <w:tr>
        <w:tc>
          <w:tcPr>
            <w:tcW w:type="dxa" w:w="170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Accounting</w:t>
            </w:r>
          </w:p>
        </w:tc>
        <w:tc>
          <w:tcPr>
            <w:tcW w:type="dxa" w:w="7660"/>
            <w:vAlign w:val="center"/>
            <w:shd w:fill="FAFBFC"/>
            <w:tcMar>
              <w:top w:w="80" w:type="dxa"/>
              <w:start w:w="120" w:type="dxa"/>
              <w:bottom w:w="80" w:type="dxa"/>
              <w:end w:w="120" w:type="dxa"/>
            </w:tcMar>
          </w:tcPr>
          <w:p>
            <w:pPr>
              <w:spacing w:after="0" w:line="240" w:lineRule="auto"/>
            </w:pPr>
            <w:r>
              <w:rPr>
                <w:rFonts w:ascii="Calibri" w:hAnsi="Calibri"/>
                <w:b w:val="0"/>
                <w:i w:val="0"/>
                <w:color w:val="172B3A"/>
                <w:sz w:val="17"/>
              </w:rPr>
              <w:t>rate_card_id/date, derived actual_cost_usd, estimation flag</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CE3E9"/>
          <w:left w:val="single" w:sz="4" w:space="0" w:color="DCE3E9"/>
          <w:bottom w:val="single" w:sz="4" w:space="0" w:color="DCE3E9"/>
          <w:right w:val="single" w:sz="4" w:space="0" w:color="DCE3E9"/>
          <w:insideH w:val="single" w:sz="4" w:space="0" w:color="DCE3E9"/>
          <w:insideV w:val="single" w:sz="4" w:space="0" w:color="DCE3E9"/>
        </w:tblBorders>
      </w:tblPr>
      <w:tblGrid>
        <w:gridCol w:w="9360"/>
      </w:tblGrid>
      <w:tr>
        <w:tc>
          <w:tcPr>
            <w:tcW w:type="dxa" w:w="9360"/>
            <w:tcMar>
              <w:top w:w="80" w:type="dxa"/>
              <w:start w:w="120" w:type="dxa"/>
              <w:bottom w:w="80" w:type="dxa"/>
              <w:end w:w="120" w:type="dxa"/>
            </w:tcMar>
            <w:shd w:fill="F7F9FB"/>
          </w:tcPr>
          <w:p>
            <w:pPr>
              <w:spacing w:after="0" w:line="252" w:lineRule="auto"/>
            </w:pPr>
            <w:r>
              <w:rPr>
                <w:rFonts w:ascii="Courier New" w:hAnsi="Courier New"/>
                <w:b/>
                <w:i w:val="0"/>
                <w:color w:val="1F4D78"/>
                <w:sz w:val="19"/>
              </w:rPr>
              <w:t>EXPERIMENT CONFIG</w:t>
              <w:br/>
            </w:r>
            <w:r>
              <w:rPr>
                <w:rFonts w:ascii="Courier New" w:hAnsi="Courier New"/>
                <w:b w:val="0"/>
                <w:i w:val="0"/>
                <w:color w:val="1F4D78"/>
                <w:sz w:val="19"/>
              </w:rPr>
              <w:t xml:space="preserve">        |</w:t>
              <w:br/>
            </w:r>
            <w:r>
              <w:rPr>
                <w:rFonts w:ascii="Courier New" w:hAnsi="Courier New"/>
                <w:b/>
                <w:i w:val="0"/>
                <w:color w:val="1F4D78"/>
                <w:sz w:val="19"/>
              </w:rPr>
              <w:t>ONE RUNNER ENTRY POINT</w:t>
              <w:br/>
            </w:r>
            <w:r>
              <w:rPr>
                <w:rFonts w:ascii="Courier New" w:hAnsi="Courier New"/>
                <w:b w:val="0"/>
                <w:i w:val="0"/>
                <w:color w:val="1F4D78"/>
                <w:sz w:val="19"/>
              </w:rPr>
              <w:t xml:space="preserve">        |</w:t>
              <w:br/>
            </w:r>
            <w:r>
              <w:rPr>
                <w:rFonts w:ascii="Courier New" w:hAnsi="Courier New"/>
                <w:b/>
                <w:i w:val="0"/>
                <w:color w:val="1F4D78"/>
                <w:sz w:val="19"/>
              </w:rPr>
              <w:t>WORK + PROVIDER-SPECIFIC TELEMETRY</w:t>
              <w:br/>
            </w:r>
            <w:r>
              <w:rPr>
                <w:rFonts w:ascii="Courier New" w:hAnsi="Courier New"/>
                <w:b w:val="0"/>
                <w:i w:val="0"/>
                <w:color w:val="1F4D78"/>
                <w:sz w:val="19"/>
              </w:rPr>
              <w:t xml:space="preserve">        |</w:t>
              <w:br/>
            </w:r>
            <w:r>
              <w:rPr>
                <w:rFonts w:ascii="Courier New" w:hAnsi="Courier New"/>
                <w:b/>
                <w:i w:val="0"/>
                <w:color w:val="1F4D78"/>
                <w:sz w:val="19"/>
              </w:rPr>
              <w:t>RUN.JSON + CONFIG + METRICS + ARTIFACT HASHES</w:t>
              <w:br/>
            </w:r>
            <w:r>
              <w:rPr>
                <w:rFonts w:ascii="Courier New" w:hAnsi="Courier New"/>
                <w:b w:val="0"/>
                <w:i w:val="0"/>
                <w:color w:val="1F4D78"/>
                <w:sz w:val="19"/>
              </w:rPr>
              <w:t xml:space="preserve">        |</w:t>
              <w:br/>
            </w:r>
            <w:r>
              <w:rPr>
                <w:rFonts w:ascii="Courier New" w:hAnsi="Courier New"/>
                <w:b/>
                <w:i w:val="0"/>
                <w:color w:val="1F4D78"/>
                <w:sz w:val="19"/>
              </w:rPr>
              <w:t>REGISTRY / COMPARATIVE REPORTS</w:t>
            </w:r>
          </w:p>
        </w:tc>
      </w:tr>
    </w:tbl>
    <w:p>
      <w:pPr>
        <w:spacing w:after="0"/>
      </w:pPr>
    </w:p>
    <w:p>
      <w:pPr>
        <w:pStyle w:val="Heading1"/>
      </w:pPr>
      <w:r>
        <w:t>6. Environment-aware cost accounting</w:t>
      </w:r>
    </w:p>
    <w:p>
      <w:pPr>
        <w:pStyle w:val="ListBullet"/>
        <w:ind w:left="720" w:hanging="360"/>
      </w:pPr>
      <w:r>
        <w:rPr>
          <w:rFonts w:ascii="Calibri" w:hAnsi="Calibri"/>
          <w:b w:val="0"/>
          <w:i w:val="0"/>
          <w:color w:val="172B3A"/>
          <w:sz w:val="21"/>
        </w:rPr>
        <w:t>Raw usage is evidence; dollar cost is derived. Preserve token counts, request counts, GPU-seconds and machine type even when a provider does not expose cost directly.</w:t>
      </w:r>
    </w:p>
    <w:p>
      <w:pPr>
        <w:pStyle w:val="ListBullet"/>
        <w:ind w:left="720" w:hanging="360"/>
      </w:pPr>
      <w:r>
        <w:rPr>
          <w:rFonts w:ascii="Calibri" w:hAnsi="Calibri"/>
          <w:b w:val="0"/>
          <w:i w:val="0"/>
          <w:color w:val="172B3A"/>
          <w:sz w:val="21"/>
        </w:rPr>
        <w:t>Use a versioned rate card with currency, effective date, region/deployment and pricing mode. Recalculation must not overwrite the historical rate-card reference.</w:t>
      </w:r>
    </w:p>
    <w:p>
      <w:pPr>
        <w:pStyle w:val="ListBullet"/>
        <w:ind w:left="720" w:hanging="360"/>
      </w:pPr>
      <w:r>
        <w:rPr>
          <w:rFonts w:ascii="Calibri" w:hAnsi="Calibri"/>
          <w:b w:val="0"/>
          <w:i w:val="0"/>
          <w:color w:val="172B3A"/>
          <w:sz w:val="21"/>
        </w:rPr>
        <w:t>For API generation report cost per attempt and cost per accepted example. For Modal report cost per run and, where helpful, per 1,000 training examples. For local and edge work prioritize runtime/performance evidence over nominal electricity cost.</w:t>
      </w:r>
    </w:p>
    <w:p>
      <w:pPr>
        <w:pStyle w:val="ListBullet"/>
        <w:ind w:left="720" w:hanging="360"/>
      </w:pPr>
      <w:r>
        <w:rPr>
          <w:rFonts w:ascii="Calibri" w:hAnsi="Calibri"/>
          <w:b w:val="0"/>
          <w:i w:val="0"/>
          <w:color w:val="172B3A"/>
          <w:sz w:val="21"/>
        </w:rPr>
        <w:t>For hybrid runs retain component costs separately and provide a combined total. Mark forecasts as estimates until reconciled with provider usage or invoices.</w:t>
      </w:r>
    </w:p>
    <w:p>
      <w:pPr>
        <w:pStyle w:val="Heading1"/>
      </w:pPr>
      <w:r>
        <w:t>7. Branch rules</w:t>
      </w:r>
    </w:p>
    <w:p>
      <w:pPr>
        <w:spacing w:after="120"/>
      </w:pPr>
      <w:r>
        <w:rPr>
          <w:rFonts w:ascii="Calibri" w:hAnsi="Calibri"/>
          <w:b/>
          <w:i w:val="0"/>
          <w:color w:val="172B3A"/>
          <w:sz w:val="22"/>
        </w:rPr>
        <w:t xml:space="preserve">Quantization: </w:t>
      </w:r>
      <w:r>
        <w:rPr>
          <w:rFonts w:ascii="Calibri" w:hAnsi="Calibri"/>
          <w:b w:val="0"/>
          <w:i w:val="0"/>
          <w:color w:val="172B3A"/>
          <w:sz w:val="22"/>
        </w:rPr>
      </w:r>
    </w:p>
    <w:p>
      <w:pPr>
        <w:spacing w:after="80"/>
      </w:pPr>
      <w:r>
        <w:rPr>
          <w:rFonts w:ascii="Calibri" w:hAnsi="Calibri"/>
          <w:b w:val="0"/>
          <w:i w:val="0"/>
          <w:color w:val="172B3A"/>
          <w:sz w:val="22"/>
        </w:rPr>
        <w:t>Profile the selected unquantized/baseline deployment artifact first. Enter a Q8/Q6/Q4 comparison only when target-hardware results show meaningful speed, memory or deployability points remain available, and measure the clinical-quality trade-off.</w:t>
      </w:r>
    </w:p>
    <w:p>
      <w:pPr>
        <w:spacing w:after="120"/>
      </w:pPr>
      <w:r>
        <w:rPr>
          <w:rFonts w:ascii="Calibri" w:hAnsi="Calibri"/>
          <w:b/>
          <w:i w:val="0"/>
          <w:color w:val="172B3A"/>
          <w:sz w:val="22"/>
        </w:rPr>
        <w:t xml:space="preserve">Lundin: </w:t>
      </w:r>
      <w:r>
        <w:rPr>
          <w:rFonts w:ascii="Calibri" w:hAnsi="Calibri"/>
          <w:b w:val="0"/>
          <w:i w:val="0"/>
          <w:color w:val="172B3A"/>
          <w:sz w:val="22"/>
        </w:rPr>
      </w:r>
    </w:p>
    <w:p>
      <w:pPr>
        <w:spacing w:after="120"/>
      </w:pPr>
      <w:r>
        <w:rPr>
          <w:rFonts w:ascii="Calibri" w:hAnsi="Calibri"/>
          <w:b w:val="0"/>
          <w:i w:val="0"/>
          <w:color w:val="172B3A"/>
          <w:sz w:val="22"/>
        </w:rPr>
        <w:t>Remove it from required hackathon evidence. Treat it as optional external research evaluation if time permits; do not let it block holistic clinical evaluation, edge profiling or submission.</w:t>
      </w:r>
    </w:p>
    <w:p>
      <w:pPr>
        <w:pStyle w:val="Heading1"/>
      </w:pPr>
      <w:r>
        <w:t>8. Immediate implementation checklist</w:t>
      </w:r>
    </w:p>
    <w:p>
      <w:pPr>
        <w:pStyle w:val="ListBullet"/>
        <w:ind w:left="720" w:hanging="360"/>
      </w:pPr>
      <w:r>
        <w:rPr>
          <w:rFonts w:ascii="Calibri" w:hAnsi="Calibri"/>
          <w:b w:val="0"/>
          <w:i w:val="0"/>
          <w:color w:val="172B3A"/>
          <w:sz w:val="21"/>
        </w:rPr>
        <w:t>Define a small run schema with common identity/provenance fields and typed environment-specific extensions.</w:t>
      </w:r>
    </w:p>
    <w:p>
      <w:pPr>
        <w:pStyle w:val="ListBullet"/>
        <w:ind w:left="720" w:hanging="360"/>
      </w:pPr>
      <w:r>
        <w:rPr>
          <w:rFonts w:ascii="Calibri" w:hAnsi="Calibri"/>
          <w:b w:val="0"/>
          <w:i w:val="0"/>
          <w:color w:val="172B3A"/>
          <w:sz w:val="21"/>
        </w:rPr>
        <w:t>Wrap generation, training, evaluation and profiling entry points so run records are automatic.</w:t>
      </w:r>
    </w:p>
    <w:p>
      <w:pPr>
        <w:pStyle w:val="ListBullet"/>
        <w:ind w:left="720" w:hanging="360"/>
      </w:pPr>
      <w:r>
        <w:rPr>
          <w:rFonts w:ascii="Calibri" w:hAnsi="Calibri"/>
          <w:b w:val="0"/>
          <w:i w:val="0"/>
          <w:color w:val="172B3A"/>
          <w:sz w:val="21"/>
        </w:rPr>
        <w:t>Version prompts, configs, datasets, checkpoints, eval suites and rate cards; store immutable hashes.</w:t>
      </w:r>
    </w:p>
    <w:p>
      <w:pPr>
        <w:pStyle w:val="ListBullet"/>
        <w:ind w:left="720" w:hanging="360"/>
      </w:pPr>
      <w:r>
        <w:rPr>
          <w:rFonts w:ascii="Calibri" w:hAnsi="Calibri"/>
          <w:b w:val="0"/>
          <w:i w:val="0"/>
          <w:color w:val="172B3A"/>
          <w:sz w:val="21"/>
        </w:rPr>
        <w:t>Create a registry view that joins scientific metrics, execution telemetry and derived cost without manual re-entry.</w:t>
      </w:r>
    </w:p>
    <w:p>
      <w:pPr>
        <w:pStyle w:val="ListBullet"/>
        <w:ind w:left="720" w:hanging="360"/>
      </w:pPr>
      <w:r>
        <w:rPr>
          <w:rFonts w:ascii="Calibri" w:hAnsi="Calibri"/>
          <w:b w:val="0"/>
          <w:i w:val="0"/>
          <w:color w:val="172B3A"/>
          <w:sz w:val="21"/>
        </w:rPr>
        <w:t>Run one end-to-end dry run in each active environment before the campaign expands.</w:t>
      </w:r>
    </w:p>
    <w:sectPr w:rsidR="00FC693F" w:rsidRPr="0006063C" w:rsidSect="00034616">
      <w:headerReference w:type="default" r:id="rId9"/>
      <w:footerReference w:type="default" r:id="rId10"/>
      <w:pgSz w:w="12240" w:h="15840"/>
      <w:pgMar w:top="1181"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F6B76"/>
        <w:sz w:val="17"/>
      </w:rPr>
      <w:t xml:space="preserve">Working plan  |  22 August 2026  |  </w:t>
    </w:r>
    <w:r>
      <w:rPr>
        <w:rFonts w:ascii="Calibri" w:hAnsi="Calibri"/>
        <w:b w:val="0"/>
        <w:i w:val="0"/>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F6B76"/>
        <w:sz w:val="17"/>
      </w:rPr>
      <w:t>EDGEIMCI  /  EXPERIMENT OPERATIONS &amp; TRACKING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EdgeIMCI - Experiment Operations &amp; Tracking Plan</dc:title>
  <dc:subject>EdgeIMCI experimental planning</dc:subject>
  <dc:creator>EdgeIMCI project team</dc:creator>
  <cp:keywords>EdgeIMCI, experiments, synthetic data, evaluation, edge deployment</cp:keywords>
  <dc:description>generated by python-docx</dc:description>
  <cp:lastModifiedBy/>
  <cp:revision>1</cp:revision>
  <dcterms:created xsi:type="dcterms:W3CDTF">2013-12-23T23:15:00Z</dcterms:created>
  <dcterms:modified xsi:type="dcterms:W3CDTF">2013-12-23T23:15:00Z</dcterms:modified>
  <cp:category/>
</cp:coreProperties>
</file>