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" w:after="60"/>
      </w:pPr>
      <w:r>
        <w:rPr>
          <w:rFonts w:ascii="Calibri" w:hAnsi="Calibri"/>
          <w:b/>
          <w:i w:val="0"/>
          <w:color w:val="2E74B5"/>
          <w:sz w:val="20"/>
        </w:rPr>
        <w:t>EDGEIMCI</w:t>
      </w:r>
    </w:p>
    <w:p>
      <w:pPr>
        <w:spacing w:before="0" w:after="100"/>
      </w:pPr>
      <w:r>
        <w:rPr>
          <w:rFonts w:ascii="Calibri" w:hAnsi="Calibri"/>
          <w:b/>
          <w:i w:val="0"/>
          <w:color w:val="172B3A"/>
          <w:sz w:val="46"/>
        </w:rPr>
        <w:t>Experimental Campaign Map</w:t>
      </w:r>
    </w:p>
    <w:p>
      <w:pPr>
        <w:spacing w:after="200"/>
      </w:pPr>
      <w:r>
        <w:rPr>
          <w:rFonts w:ascii="Calibri" w:hAnsi="Calibri"/>
          <w:b w:val="0"/>
          <w:i w:val="0"/>
          <w:color w:val="5F6B76"/>
          <w:sz w:val="25"/>
        </w:rPr>
        <w:t>Critical path, parallel lanes and evidence-based branches</w:t>
      </w:r>
    </w:p>
    <w:p>
      <w:pPr>
        <w:spacing w:after="240"/>
      </w:pPr>
      <w:r>
        <w:rPr>
          <w:rFonts w:ascii="Calibri" w:hAnsi="Calibri"/>
          <w:b/>
          <w:i w:val="0"/>
          <w:color w:val="1F4D78"/>
          <w:sz w:val="19"/>
        </w:rPr>
        <w:t xml:space="preserve">Status: </w:t>
      </w:r>
      <w:r>
        <w:rPr>
          <w:rFonts w:ascii="Calibri" w:hAnsi="Calibri"/>
          <w:b w:val="0"/>
          <w:i w:val="0"/>
          <w:color w:val="5F6B76"/>
          <w:sz w:val="19"/>
        </w:rPr>
        <w:t>High-level roadmap for the hackathon campaign; Lundin is off the main track and the domain-expert questionnaire remains separate.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E8EEF5"/>
          <w:left w:val="single" w:sz="3" w:space="0" w:color="E8EEF5"/>
          <w:bottom w:val="single" w:sz="3" w:space="0" w:color="E8EEF5"/>
          <w:right w:val="single" w:sz="3" w:space="0" w:color="E8EEF5"/>
          <w:insideH w:val="single" w:sz="3" w:space="0" w:color="E8EEF5"/>
          <w:insideV w:val="single" w:sz="3" w:space="0" w:color="E8EEF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Critical-path question  </w:t>
            </w:r>
            <w:r>
              <w:rPr>
                <w:rFonts w:ascii="Calibri" w:hAnsi="Calibri"/>
                <w:b w:val="0"/>
                <w:i w:val="0"/>
                <w:color w:val="172B3A"/>
                <w:sz w:val="21"/>
              </w:rPr>
              <w:t>Can the selected EdgeIMCI checkpoint perform the whole-encounter IMCI task, preserve safe completeness behavior and run effectively on target hardware?</w:t>
            </w:r>
          </w:p>
        </w:tc>
      </w:tr>
    </w:tbl>
    <w:p>
      <w:pPr>
        <w:spacing w:after="0"/>
      </w:pPr>
    </w:p>
    <w:p>
      <w:pPr>
        <w:pStyle w:val="Heading1"/>
      </w:pPr>
      <w:r>
        <w:t>Main track and parallel data lane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CE3E9"/>
          <w:left w:val="single" w:sz="4" w:space="0" w:color="DCE3E9"/>
          <w:bottom w:val="single" w:sz="4" w:space="0" w:color="DCE3E9"/>
          <w:right w:val="single" w:sz="4" w:space="0" w:color="DCE3E9"/>
          <w:insideH w:val="single" w:sz="4" w:space="0" w:color="DCE3E9"/>
          <w:insideV w:val="single" w:sz="4" w:space="0" w:color="DCE3E9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Courier New" w:hAnsi="Courier New"/>
                <w:b/>
                <w:i w:val="0"/>
                <w:color w:val="1F4D78"/>
                <w:sz w:val="19"/>
              </w:rPr>
              <w:t>CLINICAL APPROVAL</w:t>
              <w:br/>
            </w:r>
            <w:r>
              <w:rPr>
                <w:rFonts w:ascii="Courier New" w:hAnsi="Courier New"/>
                <w:b w:val="0"/>
                <w:i w:val="0"/>
                <w:color w:val="1F4D78"/>
                <w:sz w:val="19"/>
              </w:rPr>
              <w:t xml:space="preserve">        |</w:t>
              <w:br/>
            </w:r>
            <w:r>
              <w:rPr>
                <w:rFonts w:ascii="Courier New" w:hAnsi="Courier New"/>
                <w:b/>
                <w:i w:val="0"/>
                <w:color w:val="1F4D78"/>
                <w:sz w:val="19"/>
              </w:rPr>
              <w:t>HOLISTIC GOLDEN SET</w:t>
              <w:br/>
            </w:r>
            <w:r>
              <w:rPr>
                <w:rFonts w:ascii="Courier New" w:hAnsi="Courier New"/>
                <w:b w:val="0"/>
                <w:i w:val="0"/>
                <w:color w:val="1F4D78"/>
                <w:sz w:val="19"/>
              </w:rPr>
              <w:t xml:space="preserve">        |</w:t>
              <w:br/>
            </w:r>
            <w:r>
              <w:rPr>
                <w:rFonts w:ascii="Courier New" w:hAnsi="Courier New"/>
                <w:b/>
                <w:i w:val="0"/>
                <w:color w:val="1F4D78"/>
                <w:sz w:val="19"/>
              </w:rPr>
              <w:t>SYNTHETIC GENERATION BAKE-OFF</w:t>
              <w:br/>
            </w:r>
            <w:r>
              <w:rPr>
                <w:rFonts w:ascii="Courier New" w:hAnsi="Courier New"/>
                <w:b w:val="0"/>
                <w:i w:val="0"/>
                <w:color w:val="1F4D78"/>
                <w:sz w:val="19"/>
              </w:rPr>
              <w:t xml:space="preserve">        |</w:t>
              <w:br/>
            </w:r>
            <w:r>
              <w:rPr>
                <w:rFonts w:ascii="Courier New" w:hAnsi="Courier New"/>
                <w:b/>
                <w:i w:val="0"/>
                <w:color w:val="1F4D78"/>
                <w:sz w:val="19"/>
              </w:rPr>
              <w:t>FAST ~1K DATASET  --------------------&gt;  LARGE AZURE BATCH</w:t>
              <w:br/>
            </w:r>
            <w:r>
              <w:rPr>
                <w:rFonts w:ascii="Courier New" w:hAnsi="Courier New"/>
                <w:b w:val="0"/>
                <w:i w:val="0"/>
                <w:color w:val="1F4D78"/>
                <w:sz w:val="19"/>
              </w:rPr>
              <w:t xml:space="preserve">        |                                  10K / 20K / 30K</w:t>
              <w:br/>
            </w:r>
            <w:r>
              <w:rPr>
                <w:rFonts w:ascii="Courier New" w:hAnsi="Courier New"/>
                <w:b/>
                <w:i w:val="0"/>
                <w:color w:val="1F4D78"/>
                <w:sz w:val="19"/>
              </w:rPr>
              <w:t>QWEN3-1.7B SFT-v1 ON MODAL                       |</w:t>
              <w:br/>
            </w:r>
            <w:r>
              <w:rPr>
                <w:rFonts w:ascii="Courier New" w:hAnsi="Courier New"/>
                <w:b w:val="0"/>
                <w:i w:val="0"/>
                <w:color w:val="1F4D78"/>
                <w:sz w:val="19"/>
              </w:rPr>
              <w:t xml:space="preserve">        |                                       ARRIVES LATER</w:t>
              <w:br/>
            </w:r>
            <w:r>
              <w:rPr>
                <w:rFonts w:ascii="Courier New" w:hAnsi="Courier New"/>
                <w:b/>
                <w:i w:val="0"/>
                <w:color w:val="1F4D78"/>
                <w:sz w:val="19"/>
              </w:rPr>
              <w:t>CORE CLINICAL EVALS  &lt;------------------  SCALE / NEXT-TRAINING INPUT</w:t>
              <w:br/>
            </w:r>
            <w:r>
              <w:rPr>
                <w:rFonts w:ascii="Courier New" w:hAnsi="Courier New"/>
                <w:b w:val="0"/>
                <w:i w:val="0"/>
                <w:color w:val="1F4D78"/>
                <w:sz w:val="19"/>
              </w:rPr>
              <w:t xml:space="preserve">        |</w:t>
              <w:br/>
            </w:r>
            <w:r>
              <w:rPr>
                <w:rFonts w:ascii="Courier New" w:hAnsi="Courier New"/>
                <w:b/>
                <w:i w:val="0"/>
                <w:color w:val="1F4D78"/>
                <w:sz w:val="19"/>
              </w:rPr>
              <w:t>TARGET-HARDWARE PROFILE</w:t>
              <w:br/>
            </w:r>
            <w:r>
              <w:rPr>
                <w:rFonts w:ascii="Courier New" w:hAnsi="Courier New"/>
                <w:b w:val="0"/>
                <w:i w:val="0"/>
                <w:color w:val="1F4D78"/>
                <w:sz w:val="19"/>
              </w:rPr>
              <w:t xml:space="preserve">        |</w:t>
              <w:br/>
            </w:r>
            <w:r>
              <w:rPr>
                <w:rFonts w:ascii="Courier New" w:hAnsi="Courier New"/>
                <w:b/>
                <w:i w:val="0"/>
                <w:color w:val="1F4D78"/>
                <w:sz w:val="19"/>
              </w:rPr>
              <w:t>GOOD ENOUGH?  -- YES --&gt; SELECT / SUBMIT</w:t>
              <w:br/>
            </w:r>
            <w:r>
              <w:rPr>
                <w:rFonts w:ascii="Courier New" w:hAnsi="Courier New"/>
                <w:b w:val="0"/>
                <w:i w:val="0"/>
                <w:color w:val="1F4D78"/>
                <w:sz w:val="19"/>
              </w:rPr>
              <w:t xml:space="preserve">        | NO</w:t>
              <w:br/>
            </w:r>
            <w:r>
              <w:rPr>
                <w:rFonts w:ascii="Courier New" w:hAnsi="Courier New"/>
                <w:b/>
                <w:i w:val="0"/>
                <w:color w:val="1F4D78"/>
                <w:sz w:val="19"/>
              </w:rPr>
              <w:t>IDENTIFY BOTTLENECK --&gt; TAKE ONLY THE RELEVANT BRANCH --&gt; RE-EVALUATE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gates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750"/>
        <w:gridCol w:w="2150"/>
        <w:gridCol w:w="6460"/>
      </w:tblGrid>
      <w:tr>
        <w:trPr>
          <w:tblHeader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Gate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Decision point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Minimum evidence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1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Clinical approval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Semantic rules and holistic cases are approved for use.</w:t>
            </w:r>
          </w:p>
        </w:tc>
      </w:tr>
      <w:tr>
        <w:tc>
          <w:tcPr>
            <w:tcW w:type="dxa" w:w="7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2</w:t>
            </w:r>
          </w:p>
        </w:tc>
        <w:tc>
          <w:tcPr>
            <w:tcW w:type="dxa" w:w="2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Generation recipe</w:t>
            </w:r>
          </w:p>
        </w:tc>
        <w:tc>
          <w:tcPr>
            <w:tcW w:type="dxa" w:w="6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Teacher/prompt behavior is stable; acceptance is high; no systematic semantic corruption.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3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SFT-v1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Qwen3-1.7B checkpoint and complete training provenance exist.</w:t>
            </w:r>
          </w:p>
        </w:tc>
      </w:tr>
      <w:tr>
        <w:tc>
          <w:tcPr>
            <w:tcW w:type="dxa" w:w="7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4</w:t>
            </w:r>
          </w:p>
        </w:tc>
        <w:tc>
          <w:tcPr>
            <w:tcW w:type="dxa" w:w="2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Core clinical evals</w:t>
            </w:r>
          </w:p>
        </w:tc>
        <w:tc>
          <w:tcPr>
            <w:tcW w:type="dxa" w:w="6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Holistic classification, integrated management, completeness/withholding and urgent-incomplete results are available.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5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Target profile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Latency, tok/s, peak RAM, artifact size and deployability are measured on ASUS/target proxy.</w:t>
            </w:r>
          </w:p>
        </w:tc>
      </w:tr>
      <w:tr>
        <w:tc>
          <w:tcPr>
            <w:tcW w:type="dxa" w:w="7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6</w:t>
            </w:r>
          </w:p>
        </w:tc>
        <w:tc>
          <w:tcPr>
            <w:tcW w:type="dxa" w:w="2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Branch decision</w:t>
            </w:r>
          </w:p>
        </w:tc>
        <w:tc>
          <w:tcPr>
            <w:tcW w:type="dxa" w:w="6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A specific bottleneck and expected value justify any additional experiment.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Optional branches - only when evidence points there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900"/>
        <w:gridCol w:w="3940"/>
        <w:gridCol w:w="352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Branch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Trigger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Evidence required to keep it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SFT-v2</w:t>
            </w:r>
          </w:p>
        </w:tc>
        <w:tc>
          <w:tcPr>
            <w:tcW w:type="dxa" w:w="3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SFT-v1 error analysis shows correctable data or training issues</w:t>
            </w:r>
          </w:p>
        </w:tc>
        <w:tc>
          <w:tcPr>
            <w:tcW w:type="dxa" w:w="3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Improved clinical metrics without new safety regressions</w:t>
            </w:r>
          </w:p>
        </w:tc>
      </w:tr>
      <w:t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4B SFT / capacity</w:t>
            </w:r>
          </w:p>
        </w:tc>
        <w:tc>
          <w:tcPr>
            <w:tcW w:type="dxa" w:w="39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1.7B appears capacity-limited or 4B base evidence is compelling</w:t>
            </w:r>
          </w:p>
        </w:tc>
        <w:tc>
          <w:tcPr>
            <w:tcW w:type="dxa" w:w="35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Gain versus 1.7B justifies slower/larger deployment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Learning curve</w:t>
            </w:r>
          </w:p>
        </w:tc>
        <w:tc>
          <w:tcPr>
            <w:tcW w:type="dxa" w:w="3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Large batch is available and data-scale value is uncertain</w:t>
            </w:r>
          </w:p>
        </w:tc>
        <w:tc>
          <w:tcPr>
            <w:tcW w:type="dxa" w:w="3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Matched-base 1k/3k/10k comparison</w:t>
            </w:r>
          </w:p>
        </w:tc>
      </w:tr>
      <w:t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Qwen3.5 / Tinker</w:t>
            </w:r>
          </w:p>
        </w:tc>
        <w:tc>
          <w:tcPr>
            <w:tcW w:type="dxa" w:w="39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Specialist branch can test a supported newer model with existing credits</w:t>
            </w:r>
          </w:p>
        </w:tc>
        <w:tc>
          <w:tcPr>
            <w:tcW w:type="dxa" w:w="35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Comparable clinical and deployment evidence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Preference / RL</w:t>
            </w:r>
          </w:p>
        </w:tc>
        <w:tc>
          <w:tcPr>
            <w:tcW w:type="dxa" w:w="3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SFT plateaus on a targeted, rewardable behavior</w:t>
            </w:r>
          </w:p>
        </w:tc>
        <w:tc>
          <w:tcPr>
            <w:tcW w:type="dxa" w:w="3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Targeted gain justifies complexity and cost</w:t>
            </w:r>
          </w:p>
        </w:tc>
      </w:tr>
      <w:t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SVD / compression</w:t>
            </w:r>
          </w:p>
        </w:tc>
        <w:tc>
          <w:tcPr>
            <w:tcW w:type="dxa" w:w="39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Size/capacity trade-off warrants a research compression test</w:t>
            </w:r>
          </w:p>
        </w:tc>
        <w:tc>
          <w:tcPr>
            <w:tcW w:type="dxa" w:w="35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Quality-size-speed curve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Quantization</w:t>
            </w:r>
          </w:p>
        </w:tc>
        <w:tc>
          <w:tcPr>
            <w:tcW w:type="dxa" w:w="3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Target profile shows meaningful speed, memory or deployability points left on the table</w:t>
            </w:r>
          </w:p>
        </w:tc>
        <w:tc>
          <w:tcPr>
            <w:tcW w:type="dxa" w:w="3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Matched Q8/Q6/Q4 quality-runtime trade-off; otherwise skip</w:t>
            </w:r>
          </w:p>
        </w:tc>
      </w:tr>
      <w:t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Lundin external eval</w:t>
            </w:r>
          </w:p>
        </w:tc>
        <w:tc>
          <w:tcPr>
            <w:tcW w:type="dxa" w:w="39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Time remains after hackathon evidence is secure</w:t>
            </w:r>
          </w:p>
        </w:tc>
        <w:tc>
          <w:tcPr>
            <w:tcW w:type="dxa" w:w="35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Optional research/generalization evidence; never blocks submission</w:t>
            </w:r>
          </w:p>
        </w:tc>
      </w:tr>
    </w:tbl>
    <w:p>
      <w:pPr>
        <w:spacing w:after="0"/>
      </w:pPr>
    </w:p>
    <w:p>
      <w:pPr>
        <w:pStyle w:val="Heading1"/>
      </w:pPr>
      <w:r>
        <w:t>Operating rhythm</w:t>
      </w:r>
    </w:p>
    <w:p>
      <w:pPr>
        <w:pStyle w:val="ListBullet"/>
        <w:ind w:left="720" w:hanging="360"/>
      </w:pPr>
      <w:r>
        <w:rPr>
          <w:rFonts w:ascii="Calibri" w:hAnsi="Calibri"/>
          <w:b w:val="0"/>
          <w:i w:val="0"/>
          <w:color w:val="172B3A"/>
          <w:sz w:val="21"/>
        </w:rPr>
        <w:t>Keep the fast approximately 1k lane and large Azure Batch lane concurrent.</w:t>
      </w:r>
    </w:p>
    <w:p>
      <w:pPr>
        <w:pStyle w:val="ListBullet"/>
        <w:ind w:left="720" w:hanging="360"/>
      </w:pPr>
      <w:r>
        <w:rPr>
          <w:rFonts w:ascii="Calibri" w:hAnsi="Calibri"/>
          <w:b w:val="0"/>
          <w:i w:val="0"/>
          <w:color w:val="172B3A"/>
          <w:sz w:val="21"/>
        </w:rPr>
        <w:t>Treat each training, evaluation, generation and profile as a versioned experiment with automatic provenance.</w:t>
      </w:r>
    </w:p>
    <w:p>
      <w:pPr>
        <w:pStyle w:val="ListBullet"/>
        <w:ind w:left="720" w:hanging="360"/>
      </w:pPr>
      <w:r>
        <w:rPr>
          <w:rFonts w:ascii="Calibri" w:hAnsi="Calibri"/>
          <w:b w:val="0"/>
          <w:i w:val="0"/>
          <w:color w:val="172B3A"/>
          <w:sz w:val="21"/>
        </w:rPr>
        <w:t>Compare scientific outcomes alongside time, usage and cost; do not confuse cheap execution with useful evidence.</w:t>
      </w:r>
    </w:p>
    <w:p>
      <w:pPr>
        <w:pStyle w:val="ListBullet"/>
        <w:ind w:left="720" w:hanging="360"/>
      </w:pPr>
      <w:r>
        <w:rPr>
          <w:rFonts w:ascii="Calibri" w:hAnsi="Calibri"/>
          <w:b w:val="0"/>
          <w:i w:val="0"/>
          <w:color w:val="172B3A"/>
          <w:sz w:val="21"/>
        </w:rPr>
        <w:t>Branch from measured bottlenecks, not from a desire to run every available technique.</w:t>
      </w:r>
    </w:p>
    <w:p>
      <w:pPr>
        <w:pStyle w:val="ListBullet"/>
        <w:ind w:left="720" w:hanging="360"/>
      </w:pPr>
      <w:r>
        <w:rPr>
          <w:rFonts w:ascii="Calibri" w:hAnsi="Calibri"/>
          <w:b w:val="0"/>
          <w:i w:val="0"/>
          <w:color w:val="172B3A"/>
          <w:sz w:val="21"/>
        </w:rPr>
        <w:t>Keep Lundin off the hackathon critical path and keep the domain-expert clinical questionnaire in its separate review document.</w:t>
      </w:r>
    </w:p>
    <w:p>
      <w:pPr>
        <w:pStyle w:val="Heading1"/>
      </w:pPr>
      <w:r>
        <w:t>Current next sequence</w:t>
      </w:r>
    </w:p>
    <w:p>
      <w:pPr>
        <w:pStyle w:val="ListNumber"/>
      </w:pPr>
      <w:r>
        <w:rPr>
          <w:rFonts w:ascii="Calibri" w:hAnsi="Calibri"/>
          <w:b w:val="0"/>
          <w:i w:val="0"/>
          <w:color w:val="172B3A"/>
          <w:sz w:val="21"/>
        </w:rPr>
        <w:t>Complete clinical approval and freeze the holistic golden set.</w:t>
      </w:r>
    </w:p>
    <w:p>
      <w:pPr>
        <w:pStyle w:val="ListNumber"/>
      </w:pPr>
      <w:r>
        <w:rPr>
          <w:rFonts w:ascii="Calibri" w:hAnsi="Calibri"/>
          <w:b w:val="0"/>
          <w:i w:val="0"/>
          <w:color w:val="172B3A"/>
          <w:sz w:val="21"/>
        </w:rPr>
        <w:t>Run the teacher/prompt bake-off and lock the first stable generation recipe.</w:t>
      </w:r>
    </w:p>
    <w:p>
      <w:pPr>
        <w:pStyle w:val="ListNumber"/>
      </w:pPr>
      <w:r>
        <w:rPr>
          <w:rFonts w:ascii="Calibri" w:hAnsi="Calibri"/>
          <w:b w:val="0"/>
          <w:i w:val="0"/>
          <w:color w:val="172B3A"/>
          <w:sz w:val="21"/>
        </w:rPr>
        <w:t>Generate approximately 500-1,000 accepted examples and launch the large Azure Batch lane in parallel.</w:t>
      </w:r>
    </w:p>
    <w:p>
      <w:pPr>
        <w:pStyle w:val="ListNumber"/>
      </w:pPr>
      <w:r>
        <w:rPr>
          <w:rFonts w:ascii="Calibri" w:hAnsi="Calibri"/>
          <w:b w:val="0"/>
          <w:i w:val="0"/>
          <w:color w:val="172B3A"/>
          <w:sz w:val="21"/>
        </w:rPr>
        <w:t>Train Qwen3-1.7B SFT-v1 on Modal; run the core clinical evaluation battery.</w:t>
      </w:r>
    </w:p>
    <w:p>
      <w:pPr>
        <w:pStyle w:val="ListNumber"/>
      </w:pPr>
      <w:r>
        <w:rPr>
          <w:rFonts w:ascii="Calibri" w:hAnsi="Calibri"/>
          <w:b w:val="0"/>
          <w:i w:val="0"/>
          <w:color w:val="172B3A"/>
          <w:sz w:val="21"/>
        </w:rPr>
        <w:t>Profile the selected artifact on ASUS/target proxy; select, submit or branch according to the observed bottleneck.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5F6B76"/>
        <w:sz w:val="17"/>
      </w:rPr>
      <w:t xml:space="preserve">Working plan  |  22 August 2026  |  </w:t>
    </w:r>
    <w:r>
      <w:rPr>
        <w:rFonts w:ascii="Calibri" w:hAnsi="Calibr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5F6B76"/>
        <w:sz w:val="17"/>
      </w:rPr>
      <w:t>EDGEIMCI  /  EXPERIMENTAL CAMPAIGN 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EdgeIMCI - Experimental Campaign Map</dc:title>
  <dc:subject>EdgeIMCI experimental planning</dc:subject>
  <dc:creator>EdgeIMCI project team</dc:creator>
  <cp:keywords>EdgeIMCI, experiments, synthetic data, evaluation, edge deployment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