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60"/>
      </w:pPr>
      <w:r>
        <w:rPr>
          <w:rFonts w:ascii="Calibri" w:hAnsi="Calibri"/>
          <w:b/>
          <w:i w:val="0"/>
          <w:color w:val="2E74B5"/>
          <w:sz w:val="20"/>
        </w:rPr>
        <w:t>EDGEIMCI</w:t>
      </w:r>
    </w:p>
    <w:p>
      <w:pPr>
        <w:spacing w:before="0" w:after="100"/>
      </w:pPr>
      <w:r>
        <w:rPr>
          <w:rFonts w:ascii="Calibri" w:hAnsi="Calibri"/>
          <w:b/>
          <w:i w:val="0"/>
          <w:color w:val="172B3A"/>
          <w:sz w:val="46"/>
        </w:rPr>
        <w:t>Synthetic Data Generation Experiment Plan</w:t>
      </w:r>
    </w:p>
    <w:p>
      <w:pPr>
        <w:spacing w:after="200"/>
      </w:pPr>
      <w:r>
        <w:rPr>
          <w:rFonts w:ascii="Calibri" w:hAnsi="Calibri"/>
          <w:b w:val="0"/>
          <w:i w:val="0"/>
          <w:color w:val="5F6B76"/>
          <w:sz w:val="25"/>
        </w:rPr>
        <w:t>Whole-encounter rendering, controlled bake-offs and a two-speed route to scale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19"/>
        </w:rPr>
        <w:t xml:space="preserve">Status: </w:t>
      </w:r>
      <w:r>
        <w:rPr>
          <w:rFonts w:ascii="Calibri" w:hAnsi="Calibri"/>
          <w:b w:val="0"/>
          <w:i w:val="0"/>
          <w:color w:val="5F6B76"/>
          <w:sz w:val="19"/>
        </w:rPr>
        <w:t>Working plan; time and cost figures are planning estimates until measured.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E8EEF5"/>
          <w:left w:val="single" w:sz="3" w:space="0" w:color="E8EEF5"/>
          <w:bottom w:val="single" w:sz="3" w:space="0" w:color="E8EEF5"/>
          <w:right w:val="single" w:sz="3" w:space="0" w:color="E8EEF5"/>
          <w:insideH w:val="single" w:sz="3" w:space="0" w:color="E8EEF5"/>
          <w:insideV w:val="single" w:sz="3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Core design  </w:t>
            </w:r>
            <w:r>
              <w:rPr>
                <w:rFonts w:ascii="Calibri" w:hAnsi="Calibri"/>
                <w:b w:val="0"/>
                <w:i w:val="0"/>
                <w:color w:val="172B3A"/>
                <w:sz w:val="21"/>
              </w:rPr>
              <w:t>One complete canonical child encounter is the semantic unit. The deterministic oracle supplies clinical truth; the teacher renders coherent, realistic PHC-worker input and appropriate target language.</w:t>
            </w:r>
          </w:p>
        </w:tc>
      </w:tr>
    </w:tbl>
    <w:p>
      <w:pPr>
        <w:spacing w:after="0"/>
      </w:pPr>
    </w:p>
    <w:p>
      <w:pPr>
        <w:pStyle w:val="Heading1"/>
      </w:pPr>
      <w:r>
        <w:t>1. Generation unit and responsibility boundary</w:t>
      </w:r>
    </w:p>
    <w:p>
      <w:pPr>
        <w:spacing w:after="120"/>
      </w:pPr>
      <w:r>
        <w:rPr>
          <w:rFonts w:ascii="Calibri" w:hAnsi="Calibri"/>
          <w:b w:val="0"/>
          <w:i w:val="0"/>
          <w:color w:val="172B3A"/>
          <w:sz w:val="22"/>
        </w:rPr>
        <w:t>A whole-encounter request contains the full relevant child context - for example age, danger signs, respiratory, diarrhoea, fever/measles and ear findings - together with required classifications, actions and completeness state. It is not split into independently generated IMCI pathway fragments.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Component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Responsibility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Deterministic oracle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Defines semantic truth: required classifications, actions, completeness/withholding and urgent handling.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Teacher model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Primarily converts the approved semantics into realistic PHC-worker language and an integrated target response.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Validator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Checks semantic fidelity, required content and detectable rendering failures; returns pass/fail plus error codes.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Student evaluation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Determines whether a generation recipe ultimately improves the trained EdgeIMCI model; validator acceptance is an intermediate proxy.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 w:val="0"/>
          <w:i/>
          <w:color w:val="5F6B76"/>
          <w:sz w:val="22"/>
        </w:rPr>
        <w:t>A bake-off may compare a single teacher call that renders both sides with a more controlled two-stage rendering path. In either design, the complete encounter remains available so the language stays internally coherent.</w:t>
      </w:r>
    </w:p>
    <w:p>
      <w:pPr>
        <w:pStyle w:val="Heading1"/>
      </w:pPr>
      <w:r>
        <w:t>2. Experiment definition and campaign</w:t>
      </w:r>
    </w:p>
    <w:p>
      <w:pPr>
        <w:spacing w:after="120"/>
      </w:pPr>
      <w:r>
        <w:rPr>
          <w:rFonts w:ascii="Calibri" w:hAnsi="Calibri"/>
          <w:b w:val="0"/>
          <w:i w:val="0"/>
          <w:color w:val="172B3A"/>
          <w:sz w:val="22"/>
        </w:rPr>
        <w:t>Experiment/run = one fixed generation configuration. Request = one semantic encounter processed within that run. Change one principal factor at a time where possible.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4400"/>
        <w:gridCol w:w="28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Stage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What varies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Decision/output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1. Teacher / prompt bake-off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2-3 teachers x 1-2 prompt/rendering strategies on the same 50-100-case slice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Choose a stable, high-fidelity rendering recipe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2. Variant-count experiment</w:t>
            </w:r>
          </w:p>
        </w:tc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1 vs 2 vs 4 renderings per semantic encounter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Measure diversity gain against cost and duplication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3. Fast controlled corpus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Generate about 500-1,000 accepted examples with the chosen recipe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Start SFT-v1 quickly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4. Dataset-scale generation</w:t>
            </w:r>
          </w:p>
        </w:tc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Approximately 1k to 3k to 10k, possibly 20k/30k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Support learning-curve and larger-data experiments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5. Quality/diversity refinement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Prompt or renderer changes only if early data show mode collapse, awkward language or systematic rejections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Correct observed failure modes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i w:val="0"/>
          <w:color w:val="172B3A"/>
          <w:sz w:val="22"/>
        </w:rPr>
        <w:t xml:space="preserve">A reasonably complete campaign may contain roughly 10-14 generation runs; </w:t>
      </w:r>
      <w:r>
        <w:rPr>
          <w:rFonts w:ascii="Calibri" w:hAnsi="Calibri"/>
          <w:b w:val="0"/>
          <w:i w:val="0"/>
          <w:color w:val="172B3A"/>
          <w:sz w:val="22"/>
        </w:rPr>
        <w:t>the critical path is smaller: 4-6 bake-off runs, one fast corpus run, inspection, then scale only when justified.</w:t>
      </w:r>
    </w:p>
    <w:p>
      <w:pPr>
        <w:pStyle w:val="Heading1"/>
      </w:pPr>
      <w:r>
        <w:t>3. Prompt and generation provenance</w:t>
      </w:r>
    </w:p>
    <w:p>
      <w:pPr>
        <w:spacing w:after="120"/>
      </w:pPr>
      <w:r>
        <w:rPr>
          <w:rFonts w:ascii="Calibri" w:hAnsi="Calibri"/>
          <w:b w:val="0"/>
          <w:i w:val="0"/>
          <w:color w:val="172B3A"/>
          <w:sz w:val="22"/>
        </w:rPr>
        <w:t>Store prompts once in version control and reference them from generated records by ID, version and immutable hash. Do not duplicate full prompt text into every item.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Group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Required provenance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Run/config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generation_run_id; teacher_provider; teacher_model; teacher_snapshot; prompt_id; prompt_version; prompt_hash; sampling_config; variants_per_case; validator_version</w:t>
            </w:r>
          </w:p>
        </w:tc>
      </w:tr>
      <w:t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Item identity</w:t>
            </w:r>
          </w:p>
        </w:tc>
        <w:tc>
          <w:tcPr>
            <w:tcW w:type="dxa" w:w="7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semantic_case_id; variant_id; attempt_id; parent generation run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Validation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validation_pass; validation_error_codes; rejected reason; reviewer override if any</w:t>
            </w:r>
          </w:p>
        </w:tc>
      </w:tr>
      <w:t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Usage</w:t>
            </w:r>
          </w:p>
        </w:tc>
        <w:tc>
          <w:tcPr>
            <w:tcW w:type="dxa" w:w="7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input_tokens; output_tokens; cached tokens if applicable; latency; retry count; provider request ID; raw cost/usage response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Data/code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semantic-set version/hash; renderer code git commit; output artifact/hash; timestamps and status</w:t>
            </w:r>
          </w:p>
        </w:tc>
      </w:tr>
    </w:tbl>
    <w:p>
      <w:pPr>
        <w:spacing w:after="0"/>
      </w:pPr>
    </w:p>
    <w:p>
      <w:pPr>
        <w:pStyle w:val="Heading1"/>
      </w:pPr>
      <w:r>
        <w:t>4. Acceptance, quality and cost metrics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Acceptance rate and semantic error rate by teacher, prompt and variant policy.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Error-code distribution, retry rate, duplicate/near-duplicate rate and language-diversity indicators.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Mean and p95 latency, accepted examples per hour, tokens per accepted example and attempts per accepted example.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Cost per attempt and cost per accepted example, derived from raw usage and a versioned rate card.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Student clinical performance by generation recipe - the final arbiter when validator metrics and training utility disagree.</w:t>
      </w:r>
    </w:p>
    <w:p>
      <w:pPr>
        <w:pStyle w:val="Heading1"/>
      </w:pPr>
      <w:r>
        <w:t>5. Two-speed execution strategy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3E9"/>
          <w:left w:val="single" w:sz="4" w:space="0" w:color="DCE3E9"/>
          <w:bottom w:val="single" w:sz="4" w:space="0" w:color="DCE3E9"/>
          <w:right w:val="single" w:sz="4" w:space="0" w:color="DCE3E9"/>
          <w:insideH w:val="single" w:sz="4" w:space="0" w:color="DCE3E9"/>
          <w:insideV w:val="single" w:sz="4" w:space="0" w:color="DCE3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CLINICAL APPROVAL + HOLISTIC GOLDEN SEMANTIC SET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            |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50-100 CASE TEACHER / PROMPT BAKE-OFF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            |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STABLE RECIPE + HIGH ACCEPTANCE + NO SYSTEMATIC CORRUPTION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  /-----------------------------------\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FAST STANDARD API: ~500-1,000          LARGE AZURE BATCH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  |                              10k / 20k / 30k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QWEN3-1.7B SFT-v1 ON MODAL                 |</w:t>
              <w:br/>
            </w:r>
            <w:r>
              <w:rPr>
                <w:rFonts w:ascii="Courier New" w:hAnsi="Courier New"/>
                <w:b w:val="0"/>
                <w:i w:val="0"/>
                <w:color w:val="1F4D78"/>
                <w:sz w:val="19"/>
              </w:rPr>
              <w:t xml:space="preserve">          |                               ARRIVES LATER</w:t>
              <w:br/>
            </w:r>
            <w:r>
              <w:rPr>
                <w:rFonts w:ascii="Courier New" w:hAnsi="Courier New"/>
                <w:b/>
                <w:i w:val="0"/>
                <w:color w:val="1F4D78"/>
                <w:sz w:val="19"/>
              </w:rPr>
              <w:t>CLINICAL EVAL + ERROR ANALYSIS  &lt;---- NEXT TRAINING EXPERIMENTS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i w:val="0"/>
          <w:color w:val="172B3A"/>
          <w:sz w:val="22"/>
        </w:rPr>
        <w:t xml:space="preserve">Phase A - fast lane: </w:t>
      </w:r>
      <w:r>
        <w:rPr>
          <w:rFonts w:ascii="Calibri" w:hAnsi="Calibri"/>
          <w:b w:val="0"/>
          <w:i w:val="0"/>
          <w:color w:val="172B3A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color w:val="172B3A"/>
          <w:sz w:val="22"/>
        </w:rPr>
        <w:t>Use the standard API for approximately 500-1,000 validated examples so SFT can start within hours rather than waiting for asynchronous scale.</w:t>
      </w:r>
    </w:p>
    <w:p>
      <w:pPr>
        <w:spacing w:after="120"/>
      </w:pPr>
      <w:r>
        <w:rPr>
          <w:rFonts w:ascii="Calibri" w:hAnsi="Calibri"/>
          <w:b/>
          <w:i w:val="0"/>
          <w:color w:val="172B3A"/>
          <w:sz w:val="22"/>
        </w:rPr>
        <w:t xml:space="preserve">Phase B - scale lane: </w:t>
      </w:r>
      <w:r>
        <w:rPr>
          <w:rFonts w:ascii="Calibri" w:hAnsi="Calibri"/>
          <w:b w:val="0"/>
          <w:i w:val="0"/>
          <w:color w:val="172B3A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color w:val="172B3A"/>
          <w:sz w:val="22"/>
        </w:rPr>
        <w:t>Once the recipe is demonstrably stable, submit a much larger Azure Batch job. Modal fine-tuning, evaluation and error analysis continue while the batch is processing, so its elapsed time is hidden behind useful work.</w:t>
      </w:r>
    </w:p>
    <w:p>
      <w:pPr>
        <w:spacing w:after="120"/>
      </w:pPr>
      <w:r>
        <w:rPr>
          <w:rFonts w:ascii="Calibri" w:hAnsi="Calibri"/>
          <w:b w:val="0"/>
          <w:i/>
          <w:color w:val="5F6B76"/>
          <w:sz w:val="22"/>
        </w:rPr>
        <w:t>When the large corpus arrives, preserve two routes where affordable: continue SFT-v1 for the pragmatic strongest model, and train a matched checkpoint from the same base for the scientific dataset-scale comparison.</w:t>
      </w:r>
    </w:p>
    <w:p>
      <w:pPr>
        <w:pStyle w:val="Heading1"/>
      </w:pPr>
      <w:r>
        <w:t>6. Planning time ranges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F2F4F7"/>
          <w:left w:val="single" w:sz="3" w:space="0" w:color="F2F4F7"/>
          <w:bottom w:val="single" w:sz="3" w:space="0" w:color="F2F4F7"/>
          <w:right w:val="single" w:sz="3" w:space="0" w:color="F2F4F7"/>
          <w:insideH w:val="single" w:sz="3" w:space="0" w:color="F2F4F7"/>
          <w:insideV w:val="single" w:sz="3" w:space="0" w:color="F2F4F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Estimate notice  </w:t>
            </w:r>
            <w:r>
              <w:rPr>
                <w:rFonts w:ascii="Calibri" w:hAnsi="Calibri"/>
                <w:b w:val="0"/>
                <w:i w:val="0"/>
                <w:color w:val="172B3A"/>
                <w:sz w:val="21"/>
              </w:rPr>
              <w:t>These are working ranges, not provider SLAs. Concurrency, quota, output length, validator speed and acceptance/retry rate can materially change them. Reforecast after the first approximately 100 requests.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2600"/>
        <w:gridCol w:w="42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Accepted target / bake-off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API generation estimate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Planning window incl. validation + retries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100-case experiment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~5-15 min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~15-30 min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500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~15-40 min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~30-60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1,000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~30-60 min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~1-2 h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3,000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~1-3 h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~2-4 h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10,000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~4-8 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~5-10 h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30,000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~12-24 h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~15-30 h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 w:val="0"/>
          <w:i/>
          <w:color w:val="5F6B76"/>
          <w:sz w:val="22"/>
        </w:rPr>
        <w:t>Forecast replacement metrics: accepted_examples_per_hour; mean_request_latency; p95_request_latency; retry_rate; tokens_per_accepted_example; cost_per_accepted_example.</w:t>
      </w:r>
    </w:p>
    <w:p>
      <w:pPr>
        <w:pStyle w:val="Heading1"/>
      </w:pPr>
      <w:r>
        <w:t>7. Cost and accounting model</w:t>
      </w:r>
    </w:p>
    <w:p>
      <w:pPr>
        <w:spacing w:after="120"/>
      </w:pPr>
      <w:r>
        <w:rPr>
          <w:rFonts w:ascii="Calibri" w:hAnsi="Calibri"/>
          <w:b w:val="0"/>
          <w:i w:val="0"/>
          <w:color w:val="172B3A"/>
          <w:sz w:val="22"/>
        </w:rPr>
        <w:t>Do not hard-code provider prices into the experiment record. Retain actual input/output token counts, request mode, deployment/region and provider usage response; calculate dollars through a versioned rate card.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Measure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Accounting concept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Attempt cost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(input tokens x input rate) + (output tokens x output rate) + any applicable service components</w:t>
            </w:r>
          </w:p>
        </w:tc>
      </w:tr>
      <w:tr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Accepted-example cost</w:t>
            </w:r>
          </w:p>
        </w:tc>
        <w:tc>
          <w:tcPr>
            <w:tcW w:type="dxa" w:w="70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total generation + validation/retry cost / accepted examples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Batch planning placeholder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standard-mode estimate x documented batch discount assumption; label assumption, rate-card date and region</w:t>
            </w:r>
          </w:p>
        </w:tc>
      </w:tr>
      <w:tr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Reconciliation</w:t>
            </w:r>
          </w:p>
        </w:tc>
        <w:tc>
          <w:tcPr>
            <w:tcW w:type="dxa" w:w="70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replace estimate with actual provider usage/invoice data while preserving both estimate and actual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 w:val="0"/>
          <w:i/>
          <w:color w:val="5F6B76"/>
          <w:sz w:val="22"/>
        </w:rPr>
        <w:t>Optional planning assumption from the current discussion: begin forecasting with approximately 1,500 input and 700 output tokens per whole encounter, then replace these values with observed means after 50-100 requests. This is a placeholder, not a specification.</w:t>
      </w:r>
    </w:p>
    <w:p>
      <w:pPr>
        <w:pStyle w:val="Heading1"/>
      </w:pPr>
      <w:r>
        <w:t>8. Gates and next actions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Freeze the holistic golden semantic slice and validator version for the first bake-off.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Run teacher/prompt comparisons on identical cases; review both validator outcomes and language quality.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Select a recipe only after stable acceptance, no systematic semantic corruption and sensible cost/throughput.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Generate the fast approximately 1k corpus and start Qwen3-1.7B SFT-v1 on Modal.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Submit the large Azure Batch lane in parallel; do not block fine-tuning or evaluation on its completion.</w:t>
      </w:r>
    </w:p>
    <w:p>
      <w:pPr>
        <w:pStyle w:val="ListBullet"/>
        <w:ind w:left="720" w:hanging="360"/>
      </w:pPr>
      <w:r>
        <w:rPr>
          <w:rFonts w:ascii="Calibri" w:hAnsi="Calibri"/>
          <w:b w:val="0"/>
          <w:i w:val="0"/>
          <w:color w:val="172B3A"/>
          <w:sz w:val="21"/>
        </w:rPr>
        <w:t>Reforecast time and cost after approximately 100 requests and retain the measured forecast in the run registry.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F6B76"/>
        <w:sz w:val="17"/>
      </w:rPr>
      <w:t xml:space="preserve">Working plan  |  22 August 2026  |  </w:t>
    </w:r>
    <w:r>
      <w:rPr>
        <w:rFonts w:ascii="Calibri" w:hAnsi="Calibr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F6B76"/>
        <w:sz w:val="17"/>
      </w:rPr>
      <w:t>EDGEIMCI  /  SYNTHETIC DATA GENERATION EXPERIMENT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EdgeIMCI - Synthetic Data Generation Experiment Plan</dc:title>
  <dc:subject>EdgeIMCI experimental planning</dc:subject>
  <dc:creator>EdgeIMCI project team</dc:creator>
  <cp:keywords>EdgeIMCI, experiments, synthetic data, evaluation, edge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