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№2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«Поток в полости при движении верхней грани»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Освоить структуру расчётного case OpenFOAM, построение и проверку сетки, задание начальных и граничных условий, перенос полей между сетками и постобработку результатов в ParaView на примере течения в полости с движущейся крышкой.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Рассматривается двумерное изотермическое течение несжимаемой жидкости в квадратной полости. Верхняя стенка движется вправо со скоростью 1 м/с, остальные стенки неподвижны. Исследованы базовая и уточнённая сетки, сетка со сгущением, режимы Re=10, 100 и 10000, а также полость с вырезом.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mapFields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icoFoam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совместимый вызов </w:t>
      </w:r>
      <w:r>
        <w:rPr>
          <w:rFonts w:ascii="Courier New" w:hAnsi="Courier New" w:eastAsia="Courier New"/>
          <w:i w:val="0"/>
          <w:color w:val="000000"/>
          <w:sz w:val="26"/>
        </w:rPr>
        <w:t>pisoFoam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foamPostProcess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ParaView 6.1.1: отображение сетки, давления, векторов, линий тока и профиля скорости.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Базовая область имеет размеры 0,1×0,1×0,01 м. В направлении z задана одна ячейка и граница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поэтому решается двумерная задача. При U=1 м/с и характерном размере L=0,1 м число Рейнольдса равно </w:t>
      </w:r>
      <w:r>
        <w:rPr>
          <w:rFonts w:ascii="Courier New" w:hAnsi="Courier New" w:eastAsia="Courier New"/>
          <w:i w:val="0"/>
          <w:color w:val="000000"/>
          <w:sz w:val="26"/>
        </w:rPr>
        <w:t>Re=UL/nu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Case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nu, м²/с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Сетка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Конечное время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cavityBase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20×20×1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 с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cavityFine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40×40×1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 с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cavityGrade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4 блока по 10×10×1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0,8 с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cavityHighRe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0,001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20×20×1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 с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cavityRAS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1·10⁻⁵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10000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20×20×1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 с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cavityClipped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0,01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336 ячеек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0,6 с</w:t>
            </w:r>
          </w:p>
        </w:tc>
      </w:tr>
    </w:tbl>
    <w:p>
      <w:pPr>
        <w:spacing w:after="40"/>
      </w:pP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Для несжимаемой ньютоновской жидкости плотность считается постоянной. Расчёт основан на уравнении неразрывности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div(U)=0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и уравнении импульса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∂U/∂t + div(UU) = -grad(p) + nu·laplacian(U)</w:t>
      </w:r>
      <w:r>
        <w:rPr>
          <w:rFonts w:ascii="Times New Roman" w:hAnsi="Times New Roman" w:eastAsia="Times New Roman"/>
          <w:i w:val="0"/>
          <w:color w:val="000000"/>
          <w:sz w:val="28"/>
        </w:rPr>
        <w:t>,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скорость, м/с;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время, с;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кинематическое давление, м²/с²; </w:t>
      </w:r>
      <w:r>
        <w:rPr>
          <w:rFonts w:ascii="Courier New" w:hAnsi="Courier New" w:eastAsia="Courier New"/>
          <w:i w:val="0"/>
          <w:color w:val="000000"/>
          <w:sz w:val="26"/>
        </w:rPr>
        <w:t>nu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кинематическая вязкость, м²/с. В OpenFOAM для несжимаемых решателей поле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обычно нормировано на плотность, поэтому его размерность отличается от давления в паскалях.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Соотношение сил инерции и вязкости характеризуется числом Рейнольдса: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Re = U·L/nu</w:t>
      </w:r>
      <w:r>
        <w:rPr>
          <w:rFonts w:ascii="Times New Roman" w:hAnsi="Times New Roman" w:eastAsia="Times New Roman"/>
          <w:i w:val="0"/>
          <w:color w:val="000000"/>
          <w:sz w:val="28"/>
        </w:rPr>
        <w:t>,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U=1 м/с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скорость крышки, </w:t>
      </w:r>
      <w:r>
        <w:rPr>
          <w:rFonts w:ascii="Courier New" w:hAnsi="Courier New" w:eastAsia="Courier New"/>
          <w:i w:val="0"/>
          <w:color w:val="000000"/>
          <w:sz w:val="26"/>
        </w:rPr>
        <w:t>L=0,1 м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сторона полости. Поэтому </w:t>
      </w:r>
      <w:r>
        <w:rPr>
          <w:rFonts w:ascii="Courier New" w:hAnsi="Courier New" w:eastAsia="Courier New"/>
          <w:i w:val="0"/>
          <w:color w:val="000000"/>
          <w:sz w:val="26"/>
        </w:rPr>
        <w:t>nu=0,01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соответствует </w:t>
      </w:r>
      <w:r>
        <w:rPr>
          <w:rFonts w:ascii="Courier New" w:hAnsi="Courier New" w:eastAsia="Courier New"/>
          <w:i w:val="0"/>
          <w:color w:val="000000"/>
          <w:sz w:val="26"/>
        </w:rPr>
        <w:t>Re=10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nu=0,001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</w:t>
      </w:r>
      <w:r>
        <w:rPr>
          <w:rFonts w:ascii="Courier New" w:hAnsi="Courier New" w:eastAsia="Courier New"/>
          <w:i w:val="0"/>
          <w:color w:val="000000"/>
          <w:sz w:val="26"/>
        </w:rPr>
        <w:t>Re=100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а </w:t>
      </w:r>
      <w:r>
        <w:rPr>
          <w:rFonts w:ascii="Courier New" w:hAnsi="Courier New" w:eastAsia="Courier New"/>
          <w:i w:val="0"/>
          <w:color w:val="000000"/>
          <w:sz w:val="26"/>
        </w:rPr>
        <w:t>nu=1·10⁻5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</w:t>
      </w:r>
      <w:r>
        <w:rPr>
          <w:rFonts w:ascii="Courier New" w:hAnsi="Courier New" w:eastAsia="Courier New"/>
          <w:i w:val="0"/>
          <w:color w:val="000000"/>
          <w:sz w:val="26"/>
        </w:rPr>
        <w:t>Re=10000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При росте </w:t>
      </w:r>
      <w:r>
        <w:rPr>
          <w:rFonts w:ascii="Courier New" w:hAnsi="Courier New" w:eastAsia="Courier New"/>
          <w:i w:val="0"/>
          <w:color w:val="000000"/>
          <w:sz w:val="26"/>
        </w:rPr>
        <w:t>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вязкое сглаживание ослабевает, усиливаются вихревые и нестационарные эффекты.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Для переходного расчёта важен критерий Куранта: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Co = |U|·Δt/Δx</w:t>
      </w:r>
      <w:r>
        <w:rPr>
          <w:rFonts w:ascii="Times New Roman" w:hAnsi="Times New Roman" w:eastAsia="Times New Roman"/>
          <w:i w:val="0"/>
          <w:color w:val="000000"/>
          <w:sz w:val="28"/>
        </w:rPr>
        <w:t>,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Δt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шаг времени, с; </w:t>
      </w:r>
      <w:r>
        <w:rPr>
          <w:rFonts w:ascii="Courier New" w:hAnsi="Courier New" w:eastAsia="Courier New"/>
          <w:i w:val="0"/>
          <w:color w:val="000000"/>
          <w:sz w:val="26"/>
        </w:rPr>
        <w:t>Δx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характерный размер ячейки, м. Он показывает, какую долю ячейки перенос проходит за один шаг. Методичка требует подбирать шаг так, чтобы </w:t>
      </w:r>
      <w:r>
        <w:rPr>
          <w:rFonts w:ascii="Courier New" w:hAnsi="Courier New" w:eastAsia="Courier New"/>
          <w:i w:val="0"/>
          <w:color w:val="000000"/>
          <w:sz w:val="26"/>
        </w:rPr>
        <w:t>Co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не превышал 1. В выполненных ламинарных случаях это условие соблюдено. Для RAS на последнем шаге получено </w:t>
      </w:r>
      <w:r>
        <w:rPr>
          <w:rFonts w:ascii="Courier New" w:hAnsi="Courier New" w:eastAsia="Courier New"/>
          <w:i w:val="0"/>
          <w:color w:val="000000"/>
          <w:sz w:val="26"/>
        </w:rPr>
        <w:t>Co=1,00305</w:t>
      </w:r>
      <w:r>
        <w:rPr>
          <w:rFonts w:ascii="Times New Roman" w:hAnsi="Times New Roman" w:eastAsia="Times New Roman"/>
          <w:i w:val="0"/>
          <w:color w:val="000000"/>
          <w:sz w:val="28"/>
        </w:rPr>
        <w:t>; это небольшое превышение явно фиксируется как ограничение результата.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Связь скорости и давления обеспечивается алгоритмом PISO: на каждом временном шаге сначала прогнозируется скорость, затем выполняются коррекции давления и потока, удовлетворяющие неразрывности. Для </w:t>
      </w:r>
      <w:r>
        <w:rPr>
          <w:rFonts w:ascii="Courier New" w:hAnsi="Courier New" w:eastAsia="Courier New"/>
          <w:i w:val="0"/>
          <w:color w:val="000000"/>
          <w:sz w:val="26"/>
        </w:rPr>
        <w:t>Re=10000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применена RAS-модель </w:t>
      </w:r>
      <w:r>
        <w:rPr>
          <w:rFonts w:ascii="Courier New" w:hAnsi="Courier New" w:eastAsia="Courier New"/>
          <w:i w:val="0"/>
          <w:color w:val="000000"/>
          <w:sz w:val="26"/>
        </w:rPr>
        <w:t>kEpsilon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то есть решаются уравнения для осреднённого потока и дополнительных турбулентных величин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epsilon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</w:t>
      </w:r>
      <w:r>
        <w:rPr>
          <w:rFonts w:ascii="Courier New" w:hAnsi="Courier New" w:eastAsia="Courier New"/>
          <w:i w:val="0"/>
          <w:color w:val="000000"/>
          <w:sz w:val="26"/>
        </w:rPr>
        <w:t>cavityBase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cavityHighRe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cavityRAS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используется квадратная полость. </w:t>
      </w:r>
      <w:r>
        <w:rPr>
          <w:rFonts w:ascii="Courier New" w:hAnsi="Courier New" w:eastAsia="Courier New"/>
          <w:i w:val="0"/>
          <w:color w:val="000000"/>
          <w:sz w:val="26"/>
        </w:rPr>
        <w:t>cavityGrade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делит её на четыре блока для сгущения к стенкам. В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 нижнего правого угла исключён участок 0,04×0,04 м; верхняя движущаяся граница переименована в </w:t>
      </w:r>
      <w:r>
        <w:rPr>
          <w:rFonts w:ascii="Courier New" w:hAnsi="Courier New" w:eastAsia="Courier New"/>
          <w:i w:val="0"/>
          <w:color w:val="000000"/>
          <w:sz w:val="26"/>
        </w:rPr>
        <w:t>lid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Сетки созданы утилитой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 реальным файлам </w:t>
      </w:r>
      <w:r>
        <w:rPr>
          <w:rFonts w:ascii="Courier New" w:hAnsi="Courier New" w:eastAsia="Courier New"/>
          <w:i w:val="0"/>
          <w:color w:val="000000"/>
          <w:sz w:val="26"/>
        </w:rPr>
        <w:t>system/blockMeshDict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Case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Ячейки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Группы/patches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 проверки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cavityBase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400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movingWall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fixedWalls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frontAndBack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max non-orthogonality 0°, max aspect ratio 1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cavityFine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1600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те же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, max non-orthogonality 0°, max aspect ratio 1, max skewness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3,19779·10⁻14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cavityGrade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400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те же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max non-orthogonality 0°, max aspect ratio 2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cavityHighRe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400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те же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max non-orthogonality 0°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cavityRAS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400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те же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max non-orthogonality 0°</w:t>
            </w:r>
          </w:p>
        </w:tc>
      </w:tr>
      <w:tr>
        <w:tc>
          <w:tcPr>
            <w:tcW w:type="dxa" w:w="2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cavityClipped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336 hex</w:t>
            </w:r>
          </w:p>
        </w:tc>
        <w:tc>
          <w:tcPr>
            <w:tcW w:type="dxa" w:w="1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lid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fixedWalls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frontAndBack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Mesh OK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, max non-orthogonality 0°</w:t>
            </w:r>
          </w:p>
        </w:tc>
      </w:tr>
    </w:tbl>
    <w:p>
      <w:pPr>
        <w:spacing w:after="40"/>
      </w:pP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Базовая равномерная сетка 20×20×1.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_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2 - Уточнённая равномерная сетка 40×40×1.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d_me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3 - Четырёхблочная сетка со сгущением к стенкам полости.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Условия одинаковы для всех квадратных ламинарных cases; в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patch </w:t>
      </w:r>
      <w:r>
        <w:rPr>
          <w:rFonts w:ascii="Courier New" w:hAnsi="Courier New" w:eastAsia="Courier New"/>
          <w:i w:val="0"/>
          <w:color w:val="000000"/>
          <w:sz w:val="26"/>
        </w:rPr>
        <w:t>movingWall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называется </w:t>
      </w:r>
      <w:r>
        <w:rPr>
          <w:rFonts w:ascii="Courier New" w:hAnsi="Courier New" w:eastAsia="Courier New"/>
          <w:i w:val="0"/>
          <w:color w:val="000000"/>
          <w:sz w:val="26"/>
        </w:rPr>
        <w:t>lid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movingWall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 /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lid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(1 0 0)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 м/с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движущаяся верхняя крышка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fixedWalls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noSlip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неподвижные твёрдые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movingWall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 /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lid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нормальный 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давление не фиксируется на стенке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fixedWalls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нормальный 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то же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двумерность задачи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</w:t>
      </w:r>
      <w:r>
        <w:rPr>
          <w:rFonts w:ascii="Courier New" w:hAnsi="Courier New" w:eastAsia="Courier New"/>
          <w:i w:val="0"/>
          <w:color w:val="000000"/>
          <w:sz w:val="26"/>
        </w:rPr>
        <w:t>cavityRAS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дополнительно присутствуют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epsilon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nut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в </w:t>
      </w:r>
      <w:r>
        <w:rPr>
          <w:rFonts w:ascii="Courier New" w:hAnsi="Courier New" w:eastAsia="Courier New"/>
          <w:i w:val="0"/>
          <w:color w:val="000000"/>
          <w:sz w:val="26"/>
        </w:rPr>
        <w:t>constant/momentumTransport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реально заданы </w:t>
      </w:r>
      <w:r>
        <w:rPr>
          <w:rFonts w:ascii="Courier New" w:hAnsi="Courier New" w:eastAsia="Courier New"/>
          <w:i w:val="0"/>
          <w:color w:val="000000"/>
          <w:sz w:val="26"/>
        </w:rPr>
        <w:t>simulationType 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модель </w:t>
      </w:r>
      <w:r>
        <w:rPr>
          <w:rFonts w:ascii="Courier New" w:hAnsi="Courier New" w:eastAsia="Courier New"/>
          <w:i w:val="0"/>
          <w:color w:val="000000"/>
          <w:sz w:val="26"/>
        </w:rPr>
        <w:t>kEpsilon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непосредственно задаёт значение поля на границе. </w:t>
      </w:r>
      <w:r>
        <w:rPr>
          <w:rFonts w:ascii="Courier New" w:hAnsi="Courier New" w:eastAsia="Courier New"/>
          <w:i w:val="0"/>
          <w:color w:val="000000"/>
          <w:sz w:val="26"/>
        </w:rPr>
        <w:t>noSlip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является специальной записью нулевой скорости на неподвижной стенке и эквивалентен </w:t>
      </w:r>
      <w:r>
        <w:rPr>
          <w:rFonts w:ascii="Courier New" w:hAnsi="Courier New" w:eastAsia="Courier New"/>
          <w:i w:val="0"/>
          <w:color w:val="000000"/>
          <w:sz w:val="26"/>
        </w:rPr>
        <w:t>fixedValue uniform (0 0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нулевую нормальную производную, поэтому значение на границе экстраполируется из внутренней области.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исключает производные и поток через переднюю и заднюю плоскости, превращая одноячеечную по </w:t>
      </w:r>
      <w:r>
        <w:rPr>
          <w:rFonts w:ascii="Courier New" w:hAnsi="Courier New" w:eastAsia="Courier New"/>
          <w:i w:val="0"/>
          <w:color w:val="000000"/>
          <w:sz w:val="26"/>
        </w:rPr>
        <w:t>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область в квазидвумерную.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Каждый case содержит три обязательные части: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начальные и граничные условия. В ламинарных вариантах это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после постобработки появляются </w:t>
      </w:r>
      <w:r>
        <w:rPr>
          <w:rFonts w:ascii="Courier New" w:hAnsi="Courier New" w:eastAsia="Courier New"/>
          <w:i w:val="0"/>
          <w:color w:val="000000"/>
          <w:sz w:val="26"/>
        </w:rPr>
        <w:t>Ux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</w:t>
      </w:r>
      <w:r>
        <w:rPr>
          <w:rFonts w:ascii="Courier New" w:hAnsi="Courier New" w:eastAsia="Courier New"/>
          <w:i w:val="0"/>
          <w:color w:val="000000"/>
          <w:sz w:val="26"/>
        </w:rPr>
        <w:t>cavityRAS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дополнительно заданы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epsilon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nut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constant/physicalProperties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модель ньютоновской жидкости и </w:t>
      </w:r>
      <w:r>
        <w:rPr>
          <w:rFonts w:ascii="Courier New" w:hAnsi="Courier New" w:eastAsia="Courier New"/>
          <w:i w:val="0"/>
          <w:color w:val="000000"/>
          <w:sz w:val="26"/>
        </w:rPr>
        <w:t>nu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RAS-варианте </w:t>
      </w:r>
      <w:r>
        <w:rPr>
          <w:rFonts w:ascii="Courier New" w:hAnsi="Courier New" w:eastAsia="Courier New"/>
          <w:i w:val="0"/>
          <w:color w:val="000000"/>
          <w:sz w:val="26"/>
        </w:rPr>
        <w:t>constant/momentumTransport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выбирает </w:t>
      </w:r>
      <w:r>
        <w:rPr>
          <w:rFonts w:ascii="Courier New" w:hAnsi="Courier New" w:eastAsia="Courier New"/>
          <w:i w:val="0"/>
          <w:color w:val="000000"/>
          <w:sz w:val="26"/>
        </w:rPr>
        <w:t>simulationType 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kEpsilon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system/blockMeshDict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вершины, блоки и patches;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время и запись;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схемы дискретизации;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линейные решатели и параметры PISO. Только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дополнительно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system/mapFieldsDict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соответствия </w:t>
      </w:r>
      <w:r>
        <w:rPr>
          <w:rFonts w:ascii="Courier New" w:hAnsi="Courier New" w:eastAsia="Courier New"/>
          <w:i w:val="0"/>
          <w:color w:val="000000"/>
          <w:sz w:val="26"/>
        </w:rPr>
        <w:t>lid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movingWall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Каталоги </w:t>
      </w:r>
      <w:r>
        <w:rPr>
          <w:rFonts w:ascii="Courier New" w:hAnsi="Courier New" w:eastAsia="Courier New"/>
          <w:i w:val="0"/>
          <w:color w:val="000000"/>
          <w:sz w:val="26"/>
        </w:rPr>
        <w:t>0.1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0.2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далее являются записанными временными слоями, а файлы </w:t>
      </w:r>
      <w:r>
        <w:rPr>
          <w:rFonts w:ascii="Courier New" w:hAnsi="Courier New" w:eastAsia="Courier New"/>
          <w:i w:val="0"/>
          <w:color w:val="000000"/>
          <w:sz w:val="26"/>
        </w:rPr>
        <w:t>log.*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сохраняют фактический ход выполнения и окончание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Ламинарные cases решались </w:t>
      </w:r>
      <w:r>
        <w:rPr>
          <w:rFonts w:ascii="Courier New" w:hAnsi="Courier New" w:eastAsia="Courier New"/>
          <w:i w:val="0"/>
          <w:color w:val="000000"/>
          <w:sz w:val="26"/>
        </w:rPr>
        <w:t>icoFoam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</w:t>
      </w:r>
      <w:r>
        <w:rPr>
          <w:rFonts w:ascii="Courier New" w:hAnsi="Courier New" w:eastAsia="Courier New"/>
          <w:i w:val="0"/>
          <w:color w:val="000000"/>
          <w:sz w:val="26"/>
        </w:rPr>
        <w:t>constant/physicalProperties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задана кинематическая вязкость. Для базового случая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содержит </w:t>
      </w:r>
      <w:r>
        <w:rPr>
          <w:rFonts w:ascii="Courier New" w:hAnsi="Courier New" w:eastAsia="Courier New"/>
          <w:i w:val="0"/>
          <w:color w:val="000000"/>
          <w:sz w:val="26"/>
        </w:rPr>
        <w:t>endTime=1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deltaT=0.005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writeInterval=20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для fine шаг уменьшен до 0,0025 с.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 Euler по времени, Gauss linear для градиентов и интерполяции, </w:t>
      </w:r>
      <w:r>
        <w:rPr>
          <w:rFonts w:ascii="Courier New" w:hAnsi="Courier New" w:eastAsia="Courier New"/>
          <w:i w:val="0"/>
          <w:color w:val="000000"/>
          <w:sz w:val="26"/>
        </w:rPr>
        <w:t>div(phi,U) Gauss linear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применены PCG/DIC для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smoothSolver/symGaussSeidel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два корректора PISO.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</w:t>
      </w:r>
      <w:r>
        <w:rPr>
          <w:rFonts w:ascii="Courier New" w:hAnsi="Courier New" w:eastAsia="Courier New"/>
          <w:i w:val="0"/>
          <w:color w:val="000000"/>
          <w:sz w:val="26"/>
        </w:rPr>
        <w:t>cavityRAS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endTime=20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deltaT=0.02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алгоритм относится к модулю </w:t>
      </w:r>
      <w:r>
        <w:rPr>
          <w:rFonts w:ascii="Courier New" w:hAnsi="Courier New" w:eastAsia="Courier New"/>
          <w:i w:val="0"/>
          <w:color w:val="000000"/>
          <w:sz w:val="26"/>
        </w:rPr>
        <w:t>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>. Финальный maxCo=1,00305 на 0,3% выше единицы; расчёт завершился штатно, но это превышение нельзя скрывать.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 журналах зафиксирована следующая последовательность.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blockMesh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blockMesh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Создаёт сетку по </w:t>
      </w:r>
      <w:r>
        <w:rPr>
          <w:rFonts w:ascii="Courier New" w:hAnsi="Courier New" w:eastAsia="Courier New"/>
          <w:i w:val="0"/>
          <w:color w:val="000000"/>
          <w:sz w:val="26"/>
        </w:rPr>
        <w:t>system/blockMeshDict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checkMesh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checkMesh -allGeometry -allTopology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Проверяет геометрию и топологию. Для </w:t>
      </w:r>
      <w:r>
        <w:rPr>
          <w:rFonts w:ascii="Courier New" w:hAnsi="Courier New" w:eastAsia="Courier New"/>
          <w:i w:val="0"/>
          <w:color w:val="000000"/>
          <w:sz w:val="26"/>
        </w:rPr>
        <w:t>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проверка дополнительно выполнена на существующей сетке без её пересоздания; результат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сохранён в </w:t>
      </w:r>
      <w:r>
        <w:rPr>
          <w:rFonts w:ascii="Courier New" w:hAnsi="Courier New" w:eastAsia="Courier New"/>
          <w:i w:val="0"/>
          <w:color w:val="000000"/>
          <w:sz w:val="26"/>
        </w:rPr>
        <w:t>fast_finish_2026/LR2/cavityFine/log.checkMesh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Команда icoFoam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icoFoam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Выполняет переходный ламинарный расчёт. Так рассчитаны </w:t>
      </w:r>
      <w:r>
        <w:rPr>
          <w:rFonts w:ascii="Courier New" w:hAnsi="Courier New" w:eastAsia="Courier New"/>
          <w:i w:val="0"/>
          <w:color w:val="000000"/>
          <w:sz w:val="26"/>
        </w:rPr>
        <w:t>cavityBase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cavityGrade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cavityHighRe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4 - Команда mapFields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mapFields -consistent ../cavity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Так поля базового решения были перенесены на fine-сетку. Для graded-сетки журнал фиксирует </w:t>
      </w:r>
      <w:r>
        <w:rPr>
          <w:rFonts w:ascii="Courier New" w:hAnsi="Courier New" w:eastAsia="Courier New"/>
          <w:i w:val="0"/>
          <w:color w:val="000000"/>
          <w:sz w:val="26"/>
        </w:rPr>
        <w:t>mapFields -consistent -sourceTime 0.7 /home/pavel/openfoam-lab/cavityFine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5 - Команда mapFields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mapFields -sourceTime 0.5 /home/pavel/openfoam-lab/cavity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Переносит поля на отличающуюся геометрию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mapFieldsDict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</w:t>
      </w:r>
      <w:r>
        <w:rPr>
          <w:rFonts w:ascii="Courier New" w:hAnsi="Courier New" w:eastAsia="Courier New"/>
          <w:i w:val="0"/>
          <w:color w:val="000000"/>
          <w:sz w:val="26"/>
        </w:rPr>
        <w:t>patchMap (lid movingWall)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6 - Команда pisoFoam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pisoFoam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Запускает расчёт RAS. В OpenFOAM 13 устаревшее имя перенаправляется на общий модуль </w:t>
      </w:r>
      <w:r>
        <w:rPr>
          <w:rFonts w:ascii="Courier New" w:hAnsi="Courier New" w:eastAsia="Courier New"/>
          <w:i w:val="0"/>
          <w:color w:val="000000"/>
          <w:sz w:val="26"/>
        </w:rPr>
        <w:t>foamRun -solver 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7 - Команда foamPostProcess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foamPostProcess -func components(U)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Создаёт скалярные компоненты </w:t>
      </w:r>
      <w:r>
        <w:rPr>
          <w:rFonts w:ascii="Courier New" w:hAnsi="Courier New" w:eastAsia="Courier New"/>
          <w:i w:val="0"/>
          <w:color w:val="000000"/>
          <w:sz w:val="26"/>
        </w:rPr>
        <w:t>Ux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построения профилей.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Все solver logs заканчиваются строкой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. Финальные значения числа Куранта: base 0,852134; fine 0,926452; graded 0,440057; highRe 0,839937; clipped 0,834722; RAS 1,00305.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ress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4 - Поле кинематического давления в базовой полости на конечном времени.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ressure_contou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5 - Контурное представление кинематического давления.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velocity_glyph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6 - Векторное представление скорости в базовой полости.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streamli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7 - Линии тока базового случая.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Движущаяся крышка формирует главный вихрь по часовой стрелке: поток идёт вправо у крышки, вниз вдоль правой стенки и возвращается влево у дна.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6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profile_coarse_f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8 - Сравнение профиля </w:t>
      </w:r>
      <w:r>
        <w:rPr>
          <w:rFonts w:ascii="Courier New" w:hAnsi="Courier New" w:eastAsia="Courier New"/>
          <w:i w:val="0"/>
          <w:color w:val="000000"/>
          <w:sz w:val="22"/>
        </w:rPr>
        <w:t>Ux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 на базовой и уточнённой сетках.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Сравнение профилей показывает влияние разрешения сетки, особенно около стенок с большими градиентами скорости.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Re_veloc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9 - Поле модуля скорости при </w:t>
      </w:r>
      <w:r>
        <w:rPr>
          <w:rFonts w:ascii="Courier New" w:hAnsi="Courier New" w:eastAsia="Courier New"/>
          <w:i w:val="0"/>
          <w:color w:val="000000"/>
          <w:sz w:val="22"/>
        </w:rPr>
        <w:t>Re=100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Re_streamli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10 - Линии тока при </w:t>
      </w:r>
      <w:r>
        <w:rPr>
          <w:rFonts w:ascii="Courier New" w:hAnsi="Courier New" w:eastAsia="Courier New"/>
          <w:i w:val="0"/>
          <w:color w:val="000000"/>
          <w:sz w:val="22"/>
        </w:rPr>
        <w:t>Re=100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_press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11 - Поле кинематического давления в RAS-расчёте при </w:t>
      </w:r>
      <w:r>
        <w:rPr>
          <w:rFonts w:ascii="Courier New" w:hAnsi="Courier New" w:eastAsia="Courier New"/>
          <w:i w:val="0"/>
          <w:color w:val="000000"/>
          <w:sz w:val="22"/>
        </w:rPr>
        <w:t>Re=10000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_veloc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12 - Поле скорости в RAS-расчёте при </w:t>
      </w:r>
      <w:r>
        <w:rPr>
          <w:rFonts w:ascii="Courier New" w:hAnsi="Courier New" w:eastAsia="Courier New"/>
          <w:i w:val="0"/>
          <w:color w:val="000000"/>
          <w:sz w:val="22"/>
        </w:rPr>
        <w:t>Re=10000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pped_t0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13 - Поле скорости после переноса на геометрию с вырезом при </w:t>
      </w:r>
      <w:r>
        <w:rPr>
          <w:rFonts w:ascii="Courier New" w:hAnsi="Courier New" w:eastAsia="Courier New"/>
          <w:i w:val="0"/>
          <w:color w:val="000000"/>
          <w:sz w:val="22"/>
        </w:rPr>
        <w:t>t=0,5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397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pped_t0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14 - Поле скорости после продолжения расчёта до </w:t>
      </w:r>
      <w:r>
        <w:rPr>
          <w:rFonts w:ascii="Courier New" w:hAnsi="Courier New" w:eastAsia="Courier New"/>
          <w:i w:val="0"/>
          <w:color w:val="000000"/>
          <w:sz w:val="22"/>
        </w:rPr>
        <w:t>t=0,6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В чем заключается основное отличие решателя icoFoam от решателя pisoFoam?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icoFoam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предназначен для переходного ламинарного изотермического несжимаемого течения, а </w:t>
      </w:r>
      <w:r>
        <w:rPr>
          <w:rFonts w:ascii="Courier New" w:hAnsi="Courier New" w:eastAsia="Courier New"/>
          <w:i w:val="0"/>
          <w:color w:val="000000"/>
          <w:sz w:val="26"/>
        </w:rPr>
        <w:t>pisoFoam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контексте методички применяется к переходному несжимаемому течению с моделями турбулентности.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Оба решателя используют связь давления и скорости на основе PISO, но различаются набором подключаемых физических моделей. В OpenFOAM Foundation 13 старое имя </w:t>
      </w:r>
      <w:r>
        <w:rPr>
          <w:rFonts w:ascii="Courier New" w:hAnsi="Courier New" w:eastAsia="Courier New"/>
          <w:i w:val="0"/>
          <w:color w:val="000000"/>
          <w:sz w:val="26"/>
        </w:rPr>
        <w:t>pisoFoam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перенаправляется на модуль </w:t>
      </w:r>
      <w:r>
        <w:rPr>
          <w:rFonts w:ascii="Courier New" w:hAnsi="Courier New" w:eastAsia="Courier New"/>
          <w:i w:val="0"/>
          <w:color w:val="000000"/>
          <w:sz w:val="26"/>
        </w:rPr>
        <w:t>foamRun -solver 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cavityBase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cavityGrade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cavityHighRe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рассчитаны командой </w:t>
      </w:r>
      <w:r>
        <w:rPr>
          <w:rFonts w:ascii="Courier New" w:hAnsi="Courier New" w:eastAsia="Courier New"/>
          <w:i w:val="0"/>
          <w:color w:val="000000"/>
          <w:sz w:val="26"/>
        </w:rPr>
        <w:t>icoFoam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а </w:t>
      </w:r>
      <w:r>
        <w:rPr>
          <w:rFonts w:ascii="Courier New" w:hAnsi="Courier New" w:eastAsia="Courier New"/>
          <w:i w:val="0"/>
          <w:color w:val="000000"/>
          <w:sz w:val="26"/>
        </w:rPr>
        <w:t>cavityRAS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совместимым вызовом </w:t>
      </w:r>
      <w:r>
        <w:rPr>
          <w:rFonts w:ascii="Courier New" w:hAnsi="Courier New" w:eastAsia="Courier New"/>
          <w:i w:val="0"/>
          <w:color w:val="000000"/>
          <w:sz w:val="26"/>
        </w:rPr>
        <w:t>pisoFoam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 </w:t>
      </w:r>
      <w:r>
        <w:rPr>
          <w:rFonts w:ascii="Courier New" w:hAnsi="Courier New" w:eastAsia="Courier New"/>
          <w:i w:val="0"/>
          <w:color w:val="000000"/>
          <w:sz w:val="26"/>
        </w:rPr>
        <w:t>simulationType RAS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модели </w:t>
      </w:r>
      <w:r>
        <w:rPr>
          <w:rFonts w:ascii="Courier New" w:hAnsi="Courier New" w:eastAsia="Courier New"/>
          <w:i w:val="0"/>
          <w:color w:val="000000"/>
          <w:sz w:val="26"/>
        </w:rPr>
        <w:t>kEpsilon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Для чего используется утилита mapFields?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переноса уже рассчитанных полей из одного case в другой, в том числе на другую сетку.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mapFields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интерполирует значения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других полей из источника в целевую область. При совпадающих геометрии и patches используется </w:t>
      </w:r>
      <w:r>
        <w:rPr>
          <w:rFonts w:ascii="Courier New" w:hAnsi="Courier New" w:eastAsia="Courier New"/>
          <w:i w:val="0"/>
          <w:color w:val="000000"/>
          <w:sz w:val="26"/>
        </w:rPr>
        <w:t>-consistent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решение </w:t>
      </w:r>
      <w:r>
        <w:rPr>
          <w:rFonts w:ascii="Courier New" w:hAnsi="Courier New" w:eastAsia="Courier New"/>
          <w:i w:val="0"/>
          <w:color w:val="000000"/>
          <w:sz w:val="26"/>
        </w:rPr>
        <w:t>cavityBase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перенесено в </w:t>
      </w:r>
      <w:r>
        <w:rPr>
          <w:rFonts w:ascii="Courier New" w:hAnsi="Courier New" w:eastAsia="Courier New"/>
          <w:i w:val="0"/>
          <w:color w:val="000000"/>
          <w:sz w:val="26"/>
        </w:rPr>
        <w:t>cavityFine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а состояние fine при </w:t>
      </w:r>
      <w:r>
        <w:rPr>
          <w:rFonts w:ascii="Courier New" w:hAnsi="Courier New" w:eastAsia="Courier New"/>
          <w:i w:val="0"/>
          <w:color w:val="000000"/>
          <w:sz w:val="26"/>
        </w:rPr>
        <w:t>t=0,7 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в </w:t>
      </w:r>
      <w:r>
        <w:rPr>
          <w:rFonts w:ascii="Courier New" w:hAnsi="Courier New" w:eastAsia="Courier New"/>
          <w:i w:val="0"/>
          <w:color w:val="000000"/>
          <w:sz w:val="26"/>
        </w:rPr>
        <w:t>cavityGrade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Для </w:t>
      </w:r>
      <w:r>
        <w:rPr>
          <w:rFonts w:ascii="Courier New" w:hAnsi="Courier New" w:eastAsia="Courier New"/>
          <w:i w:val="0"/>
          <w:color w:val="000000"/>
          <w:sz w:val="26"/>
        </w:rPr>
        <w:t>cavityClipped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геометрия отличается, поэтому </w:t>
      </w:r>
      <w:r>
        <w:rPr>
          <w:rFonts w:ascii="Courier New" w:hAnsi="Courier New" w:eastAsia="Courier New"/>
          <w:i w:val="0"/>
          <w:color w:val="000000"/>
          <w:sz w:val="26"/>
        </w:rPr>
        <w:t>system/mapFieldsDict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</w:t>
      </w:r>
      <w:r>
        <w:rPr>
          <w:rFonts w:ascii="Courier New" w:hAnsi="Courier New" w:eastAsia="Courier New"/>
          <w:i w:val="0"/>
          <w:color w:val="000000"/>
          <w:sz w:val="26"/>
        </w:rPr>
        <w:t>patchMap (lid movingWall)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cuttingPatches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Как выполнить решение 2D задачи в OpenFOAM?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Построить область толщиной в одну ячейку и назначить передней и задней граням тип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во всех полях.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OpenFOAM хранит трёхмерную сетку, поэтому плоская задача представляется тонким параллелепипедом. Условие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отключает решение в направлении толщины.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cases cavity размер по </w:t>
      </w:r>
      <w:r>
        <w:rPr>
          <w:rFonts w:ascii="Courier New" w:hAnsi="Courier New" w:eastAsia="Courier New"/>
          <w:i w:val="0"/>
          <w:color w:val="000000"/>
          <w:sz w:val="26"/>
        </w:rPr>
        <w:t>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равен 0,01 м и имеется одна ячейка; patch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имеет тип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Какое правило необходимо соблюдать для того, чтобы обеспечить сходимость решения?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Контролировать число Куранта и подбирать шаг времени так, чтобы оно оставалось не больше 1.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явных и переходных составляющих слишком большой перенос за шаг ухудшает устойчивость. Поэтому </w:t>
      </w:r>
      <w:r>
        <w:rPr>
          <w:rFonts w:ascii="Courier New" w:hAnsi="Courier New" w:eastAsia="Courier New"/>
          <w:i w:val="0"/>
          <w:color w:val="000000"/>
          <w:sz w:val="26"/>
        </w:rPr>
        <w:t>deltaT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уменьшают при сгущении сетки или росте скорости.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финальные </w:t>
      </w:r>
      <w:r>
        <w:rPr>
          <w:rFonts w:ascii="Courier New" w:hAnsi="Courier New" w:eastAsia="Courier New"/>
          <w:i w:val="0"/>
          <w:color w:val="000000"/>
          <w:sz w:val="26"/>
        </w:rPr>
        <w:t>Co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ламинарных вариантов находятся от 0,440057 до 0,926452. Для RAS получено 1,00305 - расчёт завершился, но значение немного превышает формальный критерий и потому отдельно отмечено.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С помощью какой утилиты можно построить график в OpenFOAM?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Методичка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postProcess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получения нужного скалярного поля, а график строится фильтром ParaView </w:t>
      </w:r>
      <w:r>
        <w:rPr>
          <w:rFonts w:ascii="Courier New" w:hAnsi="Courier New" w:eastAsia="Courier New"/>
          <w:i w:val="0"/>
          <w:color w:val="000000"/>
          <w:sz w:val="26"/>
        </w:rPr>
        <w:t>Plot Over Line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Команда </w:t>
      </w:r>
      <w:r>
        <w:rPr>
          <w:rFonts w:ascii="Courier New" w:hAnsi="Courier New" w:eastAsia="Courier New"/>
          <w:i w:val="0"/>
          <w:color w:val="000000"/>
          <w:sz w:val="26"/>
        </w:rPr>
        <w:t>postProcess -func components(U)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(в OpenFOAM 13 - </w:t>
      </w:r>
      <w:r>
        <w:rPr>
          <w:rFonts w:ascii="Courier New" w:hAnsi="Courier New" w:eastAsia="Courier New"/>
          <w:i w:val="0"/>
          <w:color w:val="000000"/>
          <w:sz w:val="26"/>
        </w:rPr>
        <w:t>foamPostProcess -func components(U)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) создаёт компоненты </w:t>
      </w:r>
      <w:r>
        <w:rPr>
          <w:rFonts w:ascii="Courier New" w:hAnsi="Courier New" w:eastAsia="Courier New"/>
          <w:i w:val="0"/>
          <w:color w:val="000000"/>
          <w:sz w:val="26"/>
        </w:rPr>
        <w:t>Ux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Uz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Затем в ParaView применяется </w:t>
      </w:r>
      <w:r>
        <w:rPr>
          <w:rFonts w:ascii="Courier New" w:hAnsi="Courier New" w:eastAsia="Courier New"/>
          <w:i w:val="0"/>
          <w:color w:val="000000"/>
          <w:sz w:val="26"/>
        </w:rPr>
        <w:t>Plot Over Line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 линии через область.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выполнено </w:t>
      </w:r>
      <w:r>
        <w:rPr>
          <w:rFonts w:ascii="Courier New" w:hAnsi="Courier New" w:eastAsia="Courier New"/>
          <w:i w:val="0"/>
          <w:color w:val="000000"/>
          <w:sz w:val="26"/>
        </w:rPr>
        <w:t>foamPostProcess -func components(U)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после чего построено подтверждённое сравнение </w:t>
      </w:r>
      <w:r>
        <w:rPr>
          <w:rFonts w:ascii="Courier New" w:hAnsi="Courier New" w:eastAsia="Courier New"/>
          <w:i w:val="0"/>
          <w:color w:val="000000"/>
          <w:sz w:val="26"/>
        </w:rPr>
        <w:t>Ux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coarse- и fine-сеток.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Почему на fine-сетке уменьшен </w:t>
      </w:r>
      <w:r>
        <w:rPr>
          <w:rFonts w:ascii="Courier New" w:hAnsi="Courier New" w:eastAsia="Courier New"/>
          <w:i w:val="0"/>
          <w:color w:val="000000"/>
          <w:sz w:val="26"/>
        </w:rPr>
        <w:t>deltaT</w:t>
      </w:r>
      <w:r>
        <w:rPr>
          <w:rFonts w:ascii="Times New Roman" w:hAnsi="Times New Roman" w:eastAsia="Times New Roman"/>
          <w:i w:val="0"/>
          <w:color w:val="000000"/>
          <w:sz w:val="28"/>
        </w:rPr>
        <w:t>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Размер ячейки уменьшился вдвое, поэтому для сохранения сопоставимого числа Куранта шаг также уменьшен с 0,005 до 0,0025 с.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уточнение сетки особенно заметно около стенок?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У стенок скорость меняется от заданного значения до внутреннего потока на малом расстоянии. Более мелкие ячейки лучше описывают большой градиент и уменьшают ошибку интерполяции.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Что подтверждает корректность сеток?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всех вариантов имеются журналы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 Повторная проверка существующей fine-сетки подтвердила 1600 hex, одну область, нулевую non-orthogonality, aspect ratio 1 и корректные patches.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давление на выходе/стенке часто задаётся иначе, чем скорость?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несжимаемого расчёта абсолютный уровень кинематического давления определяется с точностью до константы. На стенках применяется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>, а опорное значение задаётся в подходящей точке или на выходной границе; скорость при этом задаёт физическое движение стенки.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Выполнен полный цикл OpenFOAM: генерация и контроль сеток, расчёты при разных Re, перенос полей и постобработка. Уточнение и сгущение сетки лучше разрешают пристеночные градиенты; уменьшение вязкости усиливает инерционные и вихревые эффекты. Все вычислительные варианты завершены штатно, а сетки всех перечисленных cases имеют сохранённое подтверждение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Поток в полости при движении верхней грани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