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Министерство науки и высшего образования Российской Федерации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Федеральное государственное автономное образовательное учреждение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высшего образования</w:t>
      </w:r>
    </w:p>
    <w:p>
      <w:pPr>
        <w:spacing w:line="240" w:lineRule="auto" w:after="4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«МОСКОВСКИЙ ПОЛИТЕХНИЧЕСКИЙ УНИВЕРСИТЕТ»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(МОСКОВСКИЙ ПОЛИТЕХ)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СМАРТ-ТЕХНОЛОГИИ</w:t>
      </w:r>
    </w:p>
    <w:p>
      <w:pPr>
        <w:spacing w:after="1400"/>
      </w:pPr>
    </w:p>
    <w:p>
      <w:pPr>
        <w:spacing w:line="240" w:lineRule="auto" w:after="16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Отчет по выполнению лабораторной работы №4</w:t>
      </w:r>
    </w:p>
    <w:p>
      <w:pPr>
        <w:spacing w:line="240" w:lineRule="auto" w:after="100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«Обтекание цилиндра потоком воды»</w:t>
      </w:r>
    </w:p>
    <w:p>
      <w:pPr>
        <w:spacing w:line="240" w:lineRule="auto" w:after="8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«Системы инженерного анализа»</w:t>
      </w:r>
    </w:p>
    <w:p>
      <w:pPr>
        <w:spacing w:line="240" w:lineRule="auto" w:after="6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направлению 09.03.01 Информатика и вычислительная техника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Образовательная программа (профиль)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«Интеграция и программирование в САПР»</w:t>
      </w:r>
    </w:p>
    <w:p>
      <w:pPr>
        <w:spacing w:after="12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81"/>
        <w:gridCol w:w="6520"/>
      </w:tblGrid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Преподаватель: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Лаврененко Илья Станиславович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  ФИО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Студент:</w:t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6"/>
              </w:rPr>
              <w:t>/____________/ Шиванко Павел Дмитриевич, 231-324 /</w:t>
            </w:r>
          </w:p>
        </w:tc>
      </w:tr>
      <w:tr>
        <w:tc>
          <w:tcPr>
            <w:tcW w:type="dxa" w:w="2381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</w:r>
          </w:p>
        </w:tc>
        <w:tc>
          <w:tcPr>
            <w:tcW w:type="dxa" w:w="6520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/>
                <w:color w:val="000000"/>
                <w:sz w:val="24"/>
              </w:rPr>
              <w:t xml:space="preserve">      подпись                       ФИО, группа</w:t>
            </w:r>
          </w:p>
        </w:tc>
      </w:tr>
    </w:tbl>
    <w:p>
      <w:pPr>
        <w:spacing w:after="1240"/>
      </w:pP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Москва, 2026</w:t>
      </w:r>
    </w:p>
    <w:p>
      <w:r>
        <w:br w:type="page"/>
      </w:r>
    </w:p>
    <w:p>
      <w:pPr>
        <w:pStyle w:val="Title"/>
        <w:spacing w:after="240"/>
        <w:jc w:val="center"/>
      </w:pPr>
      <w:r>
        <w:rPr>
          <w:rFonts w:ascii="Times New Roman" w:hAnsi="Times New Roman" w:eastAsia="Times New Roman"/>
          <w:b/>
          <w:color w:val="000000"/>
          <w:sz w:val="30"/>
        </w:rPr>
        <w:t>ОПИСАНИЕ ВЫПОЛНЕННОЙ РАБОТЫ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Цель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Построить расчётную область вокруг цилиндра и сравнить нестационарное обтекание водой при числах Рейнольдса 41 и 140.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Постановка задачи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Вода при 293,2 K обтекает неподвижный цилиндр диаметром 0,01 м. Для постоянных диаметра и вязкости рассчитаны две входные скорости. Требуется получить поля скорости и структуру следа, а также объяснить влияние Re.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Используемое программное обеспечение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Ubuntu 26.04 - рабочая операционная система.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 xml:space="preserve">OpenFOAM Foundation 13: </w:t>
      </w:r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checkMesh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foamRun -solver incompressibleFluid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foamPostProcess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Times New Roman" w:hAnsi="Times New Roman" w:eastAsia="Times New Roman"/>
          <w:i w:val="0"/>
          <w:color w:val="000000"/>
          <w:sz w:val="28"/>
        </w:rPr>
        <w:t>ParaView 6.1.1: Surface, Surface With Edges и Stream Tracer.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Исходные данные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Кинематическая вязкость воды </w:t>
      </w:r>
      <w:r>
        <w:rPr>
          <w:rFonts w:ascii="Courier New" w:hAnsi="Courier New" w:eastAsia="Courier New"/>
          <w:i w:val="0"/>
          <w:color w:val="000000"/>
          <w:sz w:val="26"/>
        </w:rPr>
        <w:t>nu=1.006·10⁻6 м²/с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диаметр </w:t>
      </w:r>
      <w:r>
        <w:rPr>
          <w:rFonts w:ascii="Courier New" w:hAnsi="Courier New" w:eastAsia="Courier New"/>
          <w:i w:val="0"/>
          <w:color w:val="000000"/>
          <w:sz w:val="26"/>
        </w:rPr>
        <w:t>D=0.01 м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По формуле </w:t>
      </w:r>
      <w:r>
        <w:rPr>
          <w:rFonts w:ascii="Courier New" w:hAnsi="Courier New" w:eastAsia="Courier New"/>
          <w:i w:val="0"/>
          <w:color w:val="000000"/>
          <w:sz w:val="26"/>
        </w:rPr>
        <w:t>U=Re·nu/D</w:t>
      </w:r>
      <w:r>
        <w:rPr>
          <w:rFonts w:ascii="Times New Roman" w:hAnsi="Times New Roman" w:eastAsia="Times New Roman"/>
          <w:i w:val="0"/>
          <w:color w:val="000000"/>
          <w:sz w:val="28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Re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U, м/с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0,0041246</w:t>
            </w:r>
          </w:p>
        </w:tc>
      </w:tr>
      <w:tr>
        <w:tc>
          <w:tcPr>
            <w:tcW w:type="dxa" w:w="38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140</w:t>
            </w:r>
          </w:p>
        </w:tc>
        <w:tc>
          <w:tcPr>
            <w:tcW w:type="dxa" w:w="5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2"/>
              </w:rPr>
              <w:t>0,014084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Эти значения непосредственно записаны в </w:t>
      </w:r>
      <w:r>
        <w:rPr>
          <w:rFonts w:ascii="Courier New" w:hAnsi="Courier New" w:eastAsia="Courier New"/>
          <w:i w:val="0"/>
          <w:color w:val="000000"/>
          <w:sz w:val="26"/>
        </w:rPr>
        <w:t>0/U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cases </w:t>
      </w:r>
      <w:r>
        <w:rPr>
          <w:rFonts w:ascii="Courier New" w:hAnsi="Courier New" w:eastAsia="Courier New"/>
          <w:i w:val="0"/>
          <w:color w:val="000000"/>
          <w:sz w:val="26"/>
        </w:rPr>
        <w:t>Re_41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Re_140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Теоретическая часть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Число Рейнольдса характеризует соотношение инерционных и вязких сил:</w:t>
      </w:r>
    </w:p>
    <w:p>
      <w:pPr>
        <w:spacing w:before="120" w:after="120"/>
        <w:jc w:val="center"/>
      </w:pPr>
      <m:oMathPara>
        <m:oMath>
          <m:r>
            <m:rPr>
              <m:sty m:val="i"/>
            </m:rPr>
            <m:t>Re = </m:t>
          </m:r>
          <m:f>
            <m:num>
              <m:r>
                <m:rPr>
                  <m:sty m:val="i"/>
                </m:rPr>
                <m:t>UD</m:t>
              </m:r>
            </m:num>
            <m:den>
              <m:r>
                <m:rPr>
                  <m:sty m:val="i"/>
                </m:rPr>
                <m:t>ν</m:t>
              </m:r>
            </m:den>
          </m:f>
        </m:oMath>
      </m:oMathPara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где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скорость набегающего потока, м/с; </w:t>
      </w:r>
      <w:r>
        <w:rPr>
          <w:rFonts w:ascii="Courier New" w:hAnsi="Courier New" w:eastAsia="Courier New"/>
          <w:i w:val="0"/>
          <w:color w:val="000000"/>
          <w:sz w:val="26"/>
        </w:rPr>
        <w:t>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диаметр цилиндра, м; </w:t>
      </w:r>
      <w:r>
        <w:rPr>
          <w:rFonts w:ascii="Courier New" w:hAnsi="Courier New" w:eastAsia="Courier New"/>
          <w:i w:val="0"/>
          <w:color w:val="000000"/>
          <w:sz w:val="26"/>
        </w:rPr>
        <w:t>nu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кинематическая вязкость, м²/с. При неизменных </w:t>
      </w:r>
      <w:r>
        <w:rPr>
          <w:rFonts w:ascii="Courier New" w:hAnsi="Courier New" w:eastAsia="Courier New"/>
          <w:i w:val="0"/>
          <w:color w:val="000000"/>
          <w:sz w:val="26"/>
        </w:rPr>
        <w:t>D=0,01 м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nu=1,006·10^-6 м²/с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увеличение Re в этой работе достигнуто увеличением входной скорости.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Для несжимаемой ньютоновской жидкости решаются уравнение неразрывности </w:t>
      </w:r>
      <w:r>
        <w:rPr>
          <w:rFonts w:ascii="Courier New" w:hAnsi="Courier New" w:eastAsia="Courier New"/>
          <w:i w:val="0"/>
          <w:color w:val="000000"/>
          <w:sz w:val="26"/>
        </w:rPr>
        <w:t>div(U)=0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уравнение импульса Навье-Стокса. Условие прилипания заставляет скорость жидкости на цилиндре быть равной нулю. Из-за этого формируется пограничный слой, который отделяется от поверхности и образует след. При Re=41 вязкость ещё заметно сглаживает возмущения; при Re=140 инерционные эффекты сильнее и возникает нестационарный срыв вихрей.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Число Куранта </w:t>
      </w:r>
      <w:r>
        <w:rPr>
          <w:rFonts w:ascii="Courier New" w:hAnsi="Courier New" w:eastAsia="Courier New"/>
          <w:i w:val="0"/>
          <w:color w:val="000000"/>
          <w:sz w:val="26"/>
        </w:rPr>
        <w:t>Co=|U| deltaT/deltaX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связывает скорость, шаг времени и размер ячейки. В обоих cases шаг автоматически изменялся, чтобы не превысить заданный </w:t>
      </w:r>
      <w:r>
        <w:rPr>
          <w:rFonts w:ascii="Courier New" w:hAnsi="Courier New" w:eastAsia="Courier New"/>
          <w:i w:val="0"/>
          <w:color w:val="000000"/>
          <w:sz w:val="26"/>
        </w:rPr>
        <w:t>maxCo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Расчётная область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Центр цилиндра расположен в </w:t>
      </w:r>
      <w:r>
        <w:rPr>
          <w:rFonts w:ascii="Courier New" w:hAnsi="Courier New" w:eastAsia="Courier New"/>
          <w:i w:val="0"/>
          <w:color w:val="000000"/>
          <w:sz w:val="26"/>
        </w:rPr>
        <w:t>(0 0 0)</w:t>
      </w:r>
      <w:r>
        <w:rPr>
          <w:rFonts w:ascii="Times New Roman" w:hAnsi="Times New Roman" w:eastAsia="Times New Roman"/>
          <w:i w:val="0"/>
          <w:color w:val="000000"/>
          <w:sz w:val="28"/>
        </w:rPr>
        <w:t>. Область простирается от -0,1 до 0,5 м по x, от -0,05 до 0,05 м по y и имеет толщину 0,01 м. Геометрия разбита на шесть блоков: пять около цилиндра/входа и один вытянутый блок следа.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Построение сетки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Сетка создана </w:t>
      </w:r>
      <w:r>
        <w:rPr>
          <w:rFonts w:ascii="Courier New" w:hAnsi="Courier New" w:eastAsia="Courier New"/>
          <w:i w:val="0"/>
          <w:color w:val="000000"/>
          <w:sz w:val="26"/>
        </w:rPr>
        <w:t>blockMesh</w:t>
      </w:r>
      <w:r>
        <w:rPr>
          <w:rFonts w:ascii="Times New Roman" w:hAnsi="Times New Roman" w:eastAsia="Times New Roman"/>
          <w:i w:val="0"/>
          <w:color w:val="000000"/>
          <w:sz w:val="28"/>
        </w:rPr>
        <w:t>. В пяти блоках задано по 30×1×30 ячеек, в выходном блоке - 200×1×30. Для каждого Re получено 10500 hex, 21700 точек и 42350 граней.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Patches: </w:t>
      </w:r>
      <w:r>
        <w:rPr>
          <w:rFonts w:ascii="Courier New" w:hAnsi="Courier New" w:eastAsia="Courier New"/>
          <w:i w:val="0"/>
          <w:color w:val="000000"/>
          <w:sz w:val="26"/>
        </w:rPr>
        <w:t>inlet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outlet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cylinder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frontAndBack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Полная проверка обоих cases дала одинаковый результат: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>, max non-orthogonality 43,96335°, средняя 14,40096°, max skewness 1,05258.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_41_me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>Рисунок 1 - Шестиблочная расчётная сетка около цилиндра.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Граничные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Patch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Поле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Тип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Значение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Физический смысл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(0.0041246 0 0)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 или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(0.014084 0 0)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равномерный набегающий поток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outlet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свободный выход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wall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noSlip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неподвижные верхняя и нижняя стенки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cylinder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noSlip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прилипание на цилиндре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inlet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wall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cylinder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zeroGradient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градиент 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давление определяется решением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outlet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fixedValue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 м²/с²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опорное кинематическое давление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frontAndBack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U</w:t>
            </w: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p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empty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-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двумерная задача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Поля </w:t>
      </w:r>
      <w:r>
        <w:rPr>
          <w:rFonts w:ascii="Courier New" w:hAnsi="Courier New" w:eastAsia="Courier New"/>
          <w:i w:val="0"/>
          <w:color w:val="000000"/>
          <w:sz w:val="26"/>
        </w:rPr>
        <w:t>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omega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nut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присутствуют в каталоге </w:t>
      </w:r>
      <w:r>
        <w:rPr>
          <w:rFonts w:ascii="Courier New" w:hAnsi="Courier New" w:eastAsia="Courier New"/>
          <w:i w:val="0"/>
          <w:color w:val="000000"/>
          <w:sz w:val="26"/>
        </w:rPr>
        <w:t>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но </w:t>
      </w:r>
      <w:r>
        <w:rPr>
          <w:rFonts w:ascii="Courier New" w:hAnsi="Courier New" w:eastAsia="Courier New"/>
          <w:i w:val="0"/>
          <w:color w:val="000000"/>
          <w:sz w:val="26"/>
        </w:rPr>
        <w:t>constant/momentumTransport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реально задаёт </w:t>
      </w:r>
      <w:r>
        <w:rPr>
          <w:rFonts w:ascii="Courier New" w:hAnsi="Courier New" w:eastAsia="Courier New"/>
          <w:i w:val="0"/>
          <w:color w:val="000000"/>
          <w:sz w:val="26"/>
        </w:rPr>
        <w:t>simulationType laminar</w:t>
      </w:r>
      <w:r>
        <w:rPr>
          <w:rFonts w:ascii="Times New Roman" w:hAnsi="Times New Roman" w:eastAsia="Times New Roman"/>
          <w:i w:val="0"/>
          <w:color w:val="000000"/>
          <w:sz w:val="28"/>
        </w:rPr>
        <w:t>; они не означают, что финальный расчёт был RAS.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fixedValue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входе непосредственно задаёт скорость набегающего потока.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выходе позволяет скорости определяться внутренним решением без навязанного профиля. </w:t>
      </w:r>
      <w:r>
        <w:rPr>
          <w:rFonts w:ascii="Courier New" w:hAnsi="Courier New" w:eastAsia="Courier New"/>
          <w:i w:val="0"/>
          <w:color w:val="000000"/>
          <w:sz w:val="26"/>
        </w:rPr>
        <w:t>noSlip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эквивалентно нулевому </w:t>
      </w:r>
      <w:r>
        <w:rPr>
          <w:rFonts w:ascii="Courier New" w:hAnsi="Courier New" w:eastAsia="Courier New"/>
          <w:i w:val="0"/>
          <w:color w:val="000000"/>
          <w:sz w:val="26"/>
        </w:rPr>
        <w:t>fixedValue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неподвижной стенки. Условие </w:t>
      </w:r>
      <w:r>
        <w:rPr>
          <w:rFonts w:ascii="Courier New" w:hAnsi="Courier New" w:eastAsia="Courier New"/>
          <w:i w:val="0"/>
          <w:color w:val="000000"/>
          <w:sz w:val="26"/>
        </w:rPr>
        <w:t>empty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применяется к однослойным передней и задней плоскостям квазидвумерной задачи.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Структура OpenFOAM case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0/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кинематическое давление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дополнительные поля </w:t>
      </w:r>
      <w:r>
        <w:rPr>
          <w:rFonts w:ascii="Courier New" w:hAnsi="Courier New" w:eastAsia="Courier New"/>
          <w:i w:val="0"/>
          <w:color w:val="000000"/>
          <w:sz w:val="26"/>
        </w:rPr>
        <w:t>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omega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nut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constant/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physicalProperties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</w:t>
      </w:r>
      <w:r>
        <w:rPr>
          <w:rFonts w:ascii="Courier New" w:hAnsi="Courier New" w:eastAsia="Courier New"/>
          <w:i w:val="0"/>
          <w:color w:val="000000"/>
          <w:sz w:val="26"/>
        </w:rPr>
        <w:t>nu=1.006e-6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 ламинарным режимом и сгенерированная </w:t>
      </w:r>
      <w:r>
        <w:rPr>
          <w:rFonts w:ascii="Courier New" w:hAnsi="Courier New" w:eastAsia="Courier New"/>
          <w:i w:val="0"/>
          <w:color w:val="000000"/>
          <w:sz w:val="26"/>
        </w:rPr>
        <w:t>polyMesh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ListBullet"/>
        <w:spacing w:line="360" w:lineRule="auto"/>
        <w:ind w:firstLine="0" w:left="709"/>
      </w:pPr>
      <w:r>
        <w:rPr>
          <w:rFonts w:ascii="Courier New" w:hAnsi="Courier New" w:eastAsia="Courier New"/>
          <w:i w:val="0"/>
          <w:color w:val="000000"/>
          <w:sz w:val="26"/>
        </w:rPr>
        <w:t>system/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: </w:t>
      </w:r>
      <w:r>
        <w:rPr>
          <w:rFonts w:ascii="Courier New" w:hAnsi="Courier New" w:eastAsia="Courier New"/>
          <w:i w:val="0"/>
          <w:color w:val="000000"/>
          <w:sz w:val="26"/>
        </w:rPr>
        <w:t>blockMeshDict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functions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сил, коэффициентов, невязок и линий тока.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Cases </w:t>
      </w:r>
      <w:r>
        <w:rPr>
          <w:rFonts w:ascii="Courier New" w:hAnsi="Courier New" w:eastAsia="Courier New"/>
          <w:i w:val="0"/>
          <w:color w:val="000000"/>
          <w:sz w:val="26"/>
        </w:rPr>
        <w:t>Re_41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Re_140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имеют одинаковую геометрию и свойства воды; принципиально различаются входной скоростью и ограничением </w:t>
      </w:r>
      <w:r>
        <w:rPr>
          <w:rFonts w:ascii="Courier New" w:hAnsi="Courier New" w:eastAsia="Courier New"/>
          <w:i w:val="0"/>
          <w:color w:val="000000"/>
          <w:sz w:val="26"/>
        </w:rPr>
        <w:t>maxCo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Настройка solver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 </w:t>
      </w:r>
      <w:r>
        <w:rPr>
          <w:rFonts w:ascii="Courier New" w:hAnsi="Courier New" w:eastAsia="Courier New"/>
          <w:i w:val="0"/>
          <w:color w:val="000000"/>
          <w:sz w:val="26"/>
        </w:rPr>
        <w:t>controlDict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задан </w:t>
      </w:r>
      <w:r>
        <w:rPr>
          <w:rFonts w:ascii="Courier New" w:hAnsi="Courier New" w:eastAsia="Courier New"/>
          <w:i w:val="0"/>
          <w:color w:val="000000"/>
          <w:sz w:val="26"/>
        </w:rPr>
        <w:t>solver incompressibleFluid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startFrom latestTime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endTime=100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adjustTimeStep=yes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Для Re=41 </w:t>
      </w:r>
      <w:r>
        <w:rPr>
          <w:rFonts w:ascii="Courier New" w:hAnsi="Courier New" w:eastAsia="Courier New"/>
          <w:i w:val="0"/>
          <w:color w:val="000000"/>
          <w:sz w:val="26"/>
        </w:rPr>
        <w:t>maxCo=0.8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для Re=140 - </w:t>
      </w:r>
      <w:r>
        <w:rPr>
          <w:rFonts w:ascii="Courier New" w:hAnsi="Courier New" w:eastAsia="Courier New"/>
          <w:i w:val="0"/>
          <w:color w:val="000000"/>
          <w:sz w:val="26"/>
        </w:rPr>
        <w:t>maxCo=0.95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. В </w:t>
      </w:r>
      <w:r>
        <w:rPr>
          <w:rFonts w:ascii="Courier New" w:hAnsi="Courier New" w:eastAsia="Courier New"/>
          <w:i w:val="0"/>
          <w:color w:val="000000"/>
          <w:sz w:val="26"/>
        </w:rPr>
        <w:t>physicalProperties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выбрана ньютоновская жидкость и </w:t>
      </w:r>
      <w:r>
        <w:rPr>
          <w:rFonts w:ascii="Courier New" w:hAnsi="Courier New" w:eastAsia="Courier New"/>
          <w:i w:val="0"/>
          <w:color w:val="000000"/>
          <w:sz w:val="26"/>
        </w:rPr>
        <w:t>nu=1.006e-6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fvSchemes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использует Euler по времени, ограниченные linearUpwind/limitedLinear схемы конвекции и corrected для лапласиана. В реально использованном </w:t>
      </w:r>
      <w:r>
        <w:rPr>
          <w:rFonts w:ascii="Courier New" w:hAnsi="Courier New" w:eastAsia="Courier New"/>
          <w:i w:val="0"/>
          <w:color w:val="000000"/>
          <w:sz w:val="26"/>
        </w:rPr>
        <w:t>fvSolution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Re=140: GAMG/DICGaussSeidel для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PBiCGStab/DILU для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два корректора и один non-orthogonal corrector. Case Re=41 имеет более общий совместимый словарь; фактический solver log подтверждает тот же модуль </w:t>
      </w:r>
      <w:r>
        <w:rPr>
          <w:rFonts w:ascii="Courier New" w:hAnsi="Courier New" w:eastAsia="Courier New"/>
          <w:i w:val="0"/>
          <w:color w:val="000000"/>
          <w:sz w:val="26"/>
        </w:rPr>
        <w:t>incompressibleFluid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Файл </w:t>
      </w:r>
      <w:r>
        <w:rPr>
          <w:rFonts w:ascii="Courier New" w:hAnsi="Courier New" w:eastAsia="Courier New"/>
          <w:i w:val="0"/>
          <w:color w:val="000000"/>
          <w:sz w:val="26"/>
        </w:rPr>
        <w:t>system/functions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подключает силы, коэффициенты сил, residuals и streamlines. Для коэффициентов заданы patch </w:t>
      </w:r>
      <w:r>
        <w:rPr>
          <w:rFonts w:ascii="Courier New" w:hAnsi="Courier New" w:eastAsia="Courier New"/>
          <w:i w:val="0"/>
          <w:color w:val="000000"/>
          <w:sz w:val="26"/>
        </w:rPr>
        <w:t>cylinder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Aref=0.0001 м²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/>
          <w:i w:val="0"/>
          <w:color w:val="000000"/>
          <w:sz w:val="26"/>
        </w:rPr>
        <w:t>lRef=0.01 м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направления drag </w:t>
      </w:r>
      <w:r>
        <w:rPr>
          <w:rFonts w:ascii="Courier New" w:hAnsi="Courier New" w:eastAsia="Courier New"/>
          <w:i w:val="0"/>
          <w:color w:val="000000"/>
          <w:sz w:val="26"/>
        </w:rPr>
        <w:t>(1 0 0)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lift </w:t>
      </w:r>
      <w:r>
        <w:rPr>
          <w:rFonts w:ascii="Courier New" w:hAnsi="Courier New" w:eastAsia="Courier New"/>
          <w:i w:val="0"/>
          <w:color w:val="000000"/>
          <w:sz w:val="26"/>
        </w:rPr>
        <w:t>(0 1 0)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Courier New" w:hAnsi="Courier New" w:eastAsia="Courier New"/>
          <w:i w:val="0"/>
          <w:color w:val="000000"/>
          <w:sz w:val="26"/>
        </w:rPr>
        <w:t>incompressibleFluid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- переходный однородный однофазный несжимаемый solver. Режим ламинарный: турбулентная модель не участвует. Такой выбор соответствует малым и умеренным Re и позволяет непосредственно увидеть развитие нестационарного следа.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Выполнение работы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Для каждого case использована одна последовательность: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1 - Команда blockMesh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blockMesh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Создаёт шестиблочную сетку вокруг цилиндра.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2 - Команда checkMesh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checkMesh -allGeometry -allTopology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Выполняет полную проверку; оба журнала завершаются </w:t>
      </w:r>
      <w:r>
        <w:rPr>
          <w:rFonts w:ascii="Courier New" w:hAnsi="Courier New" w:eastAsia="Courier New"/>
          <w:i w:val="0"/>
          <w:color w:val="000000"/>
          <w:sz w:val="26"/>
        </w:rPr>
        <w:t>Mesh OK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End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3 - Команда foamRun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foamRun -solver incompressibleFluid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Выполняет переходный ламинарный расчёт. Такое значение </w:t>
      </w:r>
      <w:r>
        <w:rPr>
          <w:rFonts w:ascii="Courier New" w:hAnsi="Courier New" w:eastAsia="Courier New"/>
          <w:i w:val="0"/>
          <w:color w:val="000000"/>
          <w:sz w:val="26"/>
        </w:rPr>
        <w:t>Exec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записано в обоих solver logs, хотя сами файлы журналов исторически называются </w:t>
      </w:r>
      <w:r>
        <w:rPr>
          <w:rFonts w:ascii="Courier New" w:hAnsi="Courier New" w:eastAsia="Courier New"/>
          <w:i w:val="0"/>
          <w:color w:val="000000"/>
          <w:sz w:val="26"/>
        </w:rPr>
        <w:t>log.pimpleFoam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pPr>
        <w:keepNext/>
        <w:spacing w:before="100" w:after="60"/>
        <w:ind w:firstLine="0"/>
        <w:jc w:val="center"/>
      </w:pPr>
      <w:r>
        <w:rPr>
          <w:rFonts w:ascii="Times New Roman" w:hAnsi="Times New Roman" w:eastAsia="Times New Roman"/>
          <w:color w:val="000000"/>
          <w:sz w:val="24"/>
        </w:rPr>
        <w:t>Листинг 4 - Команда foamPostProcess</w:t>
      </w:r>
    </w:p>
    <w:p>
      <w:pPr>
        <w:spacing w:line="240" w:lineRule="auto" w:after="120"/>
        <w:ind w:firstLine="0" w:left="397" w:right="227"/>
        <w:shd w:fill="F2F2F2"/>
      </w:pPr>
      <w:r>
        <w:rPr>
          <w:rFonts w:ascii="Courier New" w:hAnsi="Courier New" w:eastAsia="Courier New"/>
          <w:color w:val="000000"/>
          <w:sz w:val="21"/>
        </w:rPr>
        <w:t>foamPostProcess -latestTime -func components(U)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Создаёт компоненты скорости на последнем времени для постобработки.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Результаты и обсуждение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Case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Конечное время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Wall-clock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Финальный maxCo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Завершение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Re=41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100 с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550 с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0,779234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End</w:t>
            </w:r>
          </w:p>
        </w:tc>
      </w:tr>
      <w:tr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Re=140</w:t>
            </w:r>
          </w:p>
        </w:tc>
        <w:tc>
          <w:tcPr>
            <w:tcW w:type="dxa" w:w="14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100 с</w:t>
            </w:r>
          </w:p>
        </w:tc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791 с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i w:val="0"/>
                <w:color w:val="000000"/>
                <w:sz w:val="20"/>
              </w:rPr>
              <w:t>0,919757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eastAsia="Courier New"/>
                <w:i w:val="0"/>
                <w:color w:val="000000"/>
                <w:sz w:val="19"/>
              </w:rPr>
              <w:t>End</w:t>
            </w:r>
          </w:p>
        </w:tc>
      </w:tr>
    </w:tbl>
    <w:p>
      <w:pPr>
        <w:spacing w:after="40"/>
      </w:pP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_41_velo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2 - Поле модуля скорости при </w:t>
      </w:r>
      <w:r>
        <w:rPr>
          <w:rFonts w:ascii="Courier New" w:hAnsi="Courier New" w:eastAsia="Courier New"/>
          <w:i w:val="0"/>
          <w:color w:val="000000"/>
          <w:sz w:val="22"/>
        </w:rPr>
        <w:t>Re=41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_41_streamli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3 - Линии тока и след за цилиндром при </w:t>
      </w:r>
      <w:r>
        <w:rPr>
          <w:rFonts w:ascii="Courier New" w:hAnsi="Courier New" w:eastAsia="Courier New"/>
          <w:i w:val="0"/>
          <w:color w:val="000000"/>
          <w:sz w:val="22"/>
        </w:rPr>
        <w:t>Re=41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_140_veloc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4 - Поле модуля скорости при </w:t>
      </w:r>
      <w:r>
        <w:rPr>
          <w:rFonts w:ascii="Courier New" w:hAnsi="Courier New" w:eastAsia="Courier New"/>
          <w:i w:val="0"/>
          <w:color w:val="000000"/>
          <w:sz w:val="22"/>
        </w:rPr>
        <w:t>Re=140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pPr>
        <w:keepNext/>
        <w:spacing w:before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27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_140_streamlin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27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ind w:firstLine="0"/>
        <w:jc w:val="center"/>
      </w:pPr>
      <w:r>
        <w:rPr>
          <w:rFonts w:ascii="Times New Roman" w:hAnsi="Times New Roman" w:eastAsia="Times New Roman"/>
          <w:i w:val="0"/>
          <w:color w:val="000000"/>
          <w:sz w:val="24"/>
        </w:rPr>
        <w:t xml:space="preserve">Рисунок 5 - Линии тока и вихревой след при </w:t>
      </w:r>
      <w:r>
        <w:rPr>
          <w:rFonts w:ascii="Courier New" w:hAnsi="Courier New" w:eastAsia="Courier New"/>
          <w:i w:val="0"/>
          <w:color w:val="000000"/>
          <w:sz w:val="22"/>
        </w:rPr>
        <w:t>Re=140</w:t>
      </w:r>
      <w:r>
        <w:rPr>
          <w:rFonts w:ascii="Times New Roman" w:hAnsi="Times New Roman" w:eastAsia="Times New Roman"/>
          <w:i w:val="0"/>
          <w:color w:val="000000"/>
          <w:sz w:val="24"/>
        </w:rPr>
        <w:t>.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При Re=41 вязкость сильнее стабилизирует след, поэтому за цилиндром формируется сравнительно устойчивое вихревое течение. При Re=140 инерционность выше и след становится нестационарным с чередующимся срывом вихрей. Методичка приводит для сопоставления только изображения SOLIDWORKS FLOW SIMULATION 2018: траектории и фотографию потока при Re=41, а также цветовое поле скорости при Re=140; табличных значений, одинаковых линий выборки или временных рядов в ней нет. Качественное сравнение корректно: при Re=41 и в эталонном, и в нашем изображении присутствует протяжённая зона возвратного течения за цилиндром; при Re=140 оба решения показывают асимметричный периодический след. Численную норму погрешности по этим иллюстрациям вычислять методически некорректно, поэтому она в отчёте не приводится.</w:t>
      </w:r>
    </w:p>
    <w:p>
      <w:pPr>
        <w:pStyle w:val="Heading1"/>
        <w:pageBreakBefore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Вопросы для самоконтроля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1. Что происходит с потоком при высоких числах Рейнольдса?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Инерционные силы преобладают над вязкими, течение легче теряет устойчивость, появляются отрыв, вихри и затем турбулентность.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Рост Re уменьшает относительное демпфирование возмущений вязкостью. За цилиндром пограничный слой отделяется, а вихри могут срываться попеременно, формируя дорожку Кармана.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при Re=140 получен более выраженный нестационарный след, чем при Re=41; различие видно на рисунках 3 и 5.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2. Как можно построить линии тока в ParaView?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Выбрать dataset, применить фильтр </w:t>
      </w:r>
      <w:r>
        <w:rPr>
          <w:rFonts w:ascii="Courier New" w:hAnsi="Courier New" w:eastAsia="Courier New"/>
          <w:i w:val="0"/>
          <w:color w:val="000000"/>
          <w:sz w:val="26"/>
        </w:rPr>
        <w:t>Stream Tracer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задать источник стартовых точек и нажать </w:t>
      </w:r>
      <w:r>
        <w:rPr>
          <w:rFonts w:ascii="Courier New" w:hAnsi="Courier New" w:eastAsia="Courier New"/>
          <w:i w:val="0"/>
          <w:color w:val="000000"/>
          <w:sz w:val="26"/>
        </w:rPr>
        <w:t>Apply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После загрузки case выбирают поле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, создают </w:t>
      </w:r>
      <w:r>
        <w:rPr>
          <w:rFonts w:ascii="Courier New" w:hAnsi="Courier New" w:eastAsia="Courier New"/>
          <w:i w:val="0"/>
          <w:color w:val="000000"/>
          <w:sz w:val="26"/>
        </w:rPr>
        <w:t>Stream Tracer</w:t>
      </w:r>
      <w:r>
        <w:rPr>
          <w:rFonts w:ascii="Times New Roman" w:hAnsi="Times New Roman" w:eastAsia="Times New Roman"/>
          <w:i w:val="0"/>
          <w:color w:val="000000"/>
          <w:sz w:val="28"/>
        </w:rPr>
        <w:t>, размещают line/point source перед цилиндром, задают направление интегрирования и отображают результат линиями или трубками.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этим способом получены изображения линий тока для Re=41 и Re=140.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3. Что означает нулевой градиент в граничных условиях?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Нормальная производная поля на границе равна нулю: </w:t>
      </w:r>
      <w:r>
        <w:rPr>
          <w:rFonts w:ascii="Courier New" w:hAnsi="Courier New" w:eastAsia="Courier New"/>
          <w:i w:val="0"/>
          <w:color w:val="000000"/>
          <w:sz w:val="26"/>
        </w:rPr>
        <w:t>d(phi)/dn=0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Значение не фиксируется заранее, а экстраполируется из внутренней области.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zeroGradient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используется для </w:t>
      </w:r>
      <w:r>
        <w:rPr>
          <w:rFonts w:ascii="Courier New" w:hAnsi="Courier New" w:eastAsia="Courier New"/>
          <w:i w:val="0"/>
          <w:color w:val="000000"/>
          <w:sz w:val="26"/>
        </w:rPr>
        <w:t>U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</w:t>
      </w:r>
      <w:r>
        <w:rPr>
          <w:rFonts w:ascii="Courier New" w:hAnsi="Courier New" w:eastAsia="Courier New"/>
          <w:i w:val="0"/>
          <w:color w:val="000000"/>
          <w:sz w:val="26"/>
        </w:rPr>
        <w:t>outlet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для </w:t>
      </w:r>
      <w:r>
        <w:rPr>
          <w:rFonts w:ascii="Courier New" w:hAnsi="Courier New" w:eastAsia="Courier New"/>
          <w:i w:val="0"/>
          <w:color w:val="000000"/>
          <w:sz w:val="26"/>
        </w:rPr>
        <w:t>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на входе и твёрдых поверхностях.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4. Чем отличается ламинарное течение от турбулентного?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Ламинарное течение описывается упорядоченным движением слоёв, турбулентное - нерегулярными пульсациями и интенсивным перемешиванием.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Для турбулентного режима обычно требуется разрешать или моделировать дополнительные масштабы движения.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в </w:t>
      </w:r>
      <w:r>
        <w:rPr>
          <w:rFonts w:ascii="Courier New" w:hAnsi="Courier New" w:eastAsia="Courier New"/>
          <w:i w:val="0"/>
          <w:color w:val="000000"/>
          <w:sz w:val="26"/>
        </w:rPr>
        <w:t>momentumTransport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обоих cases стоит </w:t>
      </w:r>
      <w:r>
        <w:rPr>
          <w:rFonts w:ascii="Courier New" w:hAnsi="Courier New" w:eastAsia="Courier New"/>
          <w:i w:val="0"/>
          <w:color w:val="000000"/>
          <w:sz w:val="26"/>
        </w:rPr>
        <w:t>simulationType laminar</w:t>
      </w:r>
      <w:r>
        <w:rPr>
          <w:rFonts w:ascii="Times New Roman" w:hAnsi="Times New Roman" w:eastAsia="Times New Roman"/>
          <w:i w:val="0"/>
          <w:color w:val="000000"/>
          <w:sz w:val="28"/>
        </w:rPr>
        <w:t>; нестационарные вихри рассчитываются непосредственно, без RAS-модели.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5. Что означает тип noSlip в граничных условиях? Как можно записать его иначе?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Краткий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Скорость жидкости равна скорости неподвижной стенки, то есть нулю; эквивалентная запись - </w:t>
      </w:r>
      <w:r>
        <w:rPr>
          <w:rFonts w:ascii="Courier New" w:hAnsi="Courier New" w:eastAsia="Courier New"/>
          <w:i w:val="0"/>
          <w:color w:val="000000"/>
          <w:sz w:val="26"/>
        </w:rPr>
        <w:t>fixedValue uniform (0 0 0)</w:t>
      </w:r>
      <w:r>
        <w:rPr>
          <w:rFonts w:ascii="Times New Roman" w:hAnsi="Times New Roman" w:eastAsia="Times New Roman"/>
          <w:i w:val="0"/>
          <w:color w:val="000000"/>
          <w:sz w:val="28"/>
        </w:rPr>
        <w:t>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Развёрнутый ответ: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Условие запрещает как нормальное проникновение, так и касательное скольжение.</w:t>
      </w:r>
    </w:p>
    <w:p>
      <w:r>
        <w:rPr>
          <w:rFonts w:ascii="Times New Roman" w:hAnsi="Times New Roman" w:eastAsia="Times New Roman"/>
          <w:b/>
          <w:i w:val="0"/>
          <w:color w:val="000000"/>
          <w:sz w:val="28"/>
        </w:rPr>
        <w:t>Пример из нашей работы: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</w:t>
      </w:r>
      <w:r>
        <w:rPr>
          <w:rFonts w:ascii="Courier New" w:hAnsi="Courier New" w:eastAsia="Courier New"/>
          <w:i w:val="0"/>
          <w:color w:val="000000"/>
          <w:sz w:val="26"/>
        </w:rPr>
        <w:t>noSlip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задан для patches </w:t>
      </w:r>
      <w:r>
        <w:rPr>
          <w:rFonts w:ascii="Courier New" w:hAnsi="Courier New" w:eastAsia="Courier New"/>
          <w:i w:val="0"/>
          <w:color w:val="000000"/>
          <w:sz w:val="26"/>
        </w:rPr>
        <w:t>wall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и </w:t>
      </w:r>
      <w:r>
        <w:rPr>
          <w:rFonts w:ascii="Courier New" w:hAnsi="Courier New" w:eastAsia="Courier New"/>
          <w:i w:val="0"/>
          <w:color w:val="000000"/>
          <w:sz w:val="26"/>
        </w:rPr>
        <w:t>cylinder</w:t>
      </w:r>
      <w:r>
        <w:rPr>
          <w:rFonts w:ascii="Times New Roman" w:hAnsi="Times New Roman" w:eastAsia="Times New Roman"/>
          <w:i w:val="0"/>
          <w:color w:val="000000"/>
          <w:sz w:val="28"/>
        </w:rPr>
        <w:t>, где он создаёт пристеночный градиент скорости и пограничный слой.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Дополнительные вопросы для защиты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значение давления на выходе фиксируется равным нулю?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 xml:space="preserve">Для несжимаемой задачи кинематическое давление определено с точностью до константы. Нулевое значение на </w:t>
      </w:r>
      <w:r>
        <w:rPr>
          <w:rFonts w:ascii="Courier New" w:hAnsi="Courier New" w:eastAsia="Courier New"/>
          <w:i w:val="0"/>
          <w:color w:val="000000"/>
          <w:sz w:val="26"/>
        </w:rPr>
        <w:t>outlet</w:t>
      </w:r>
      <w:r>
        <w:rPr>
          <w:rFonts w:ascii="Times New Roman" w:hAnsi="Times New Roman" w:eastAsia="Times New Roman"/>
          <w:i w:val="0"/>
          <w:color w:val="000000"/>
          <w:sz w:val="28"/>
        </w:rPr>
        <w:t xml:space="preserve"> задаёт опорный уровень, а не утверждает, что абсолютное физическое давление отсутствует.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Почему сравнение cases корректно?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Геометрия, сетка, диаметр и вязкость одинаковы; изменена входная скорость, то есть непосредственно контролируемый параметр числа Рейнольдса.</w:t>
      </w:r>
    </w:p>
    <w:p>
      <w:pPr>
        <w:pStyle w:val="Heading2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Можно ли считать Re=140 полностью развитой турбулентностью?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Нет. Он даёт нестационарный вихревой след, но финальный case сознательно рассчитан в ламинарной постановке. Называть его RAS-расчётом было бы неверно.</w:t>
      </w:r>
    </w:p>
    <w:p>
      <w:pPr>
        <w:pStyle w:val="Heading1"/>
        <w:ind w:firstLine="0"/>
      </w:pPr>
      <w:r>
        <w:rPr>
          <w:rFonts w:ascii="Times New Roman" w:hAnsi="Times New Roman" w:eastAsia="Times New Roman"/>
          <w:i w:val="0"/>
          <w:color w:val="000000"/>
          <w:sz w:val="28"/>
        </w:rPr>
        <w:t>Вывод</w:t>
      </w:r>
    </w:p>
    <w:p>
      <w:r>
        <w:rPr>
          <w:rFonts w:ascii="Times New Roman" w:hAnsi="Times New Roman" w:eastAsia="Times New Roman"/>
          <w:i w:val="0"/>
          <w:color w:val="000000"/>
          <w:sz w:val="28"/>
        </w:rPr>
        <w:t>Для Re=41 и 140 построены одинаковые проверенные сетки и выполнены реальные расчёты до 100 с. Увеличение Re достигнуто только изменением входной скорости при неизменных D и nu. Оба журнала завершены штатно, а визуализация показывает усиление нестационарности следа при Re=140.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000000"/>
        <w:sz w:val="24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 Обтекание цилиндра потоком воды</dc:title>
  <dc:subject>Системы инженерного анализа</dc:subject>
  <dc:creator>Шиванко Павел Дмитриевич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