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№6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«Параметрическое построение сопла Лаваля в Salome для анализа течения газа с использованием инструментария вычислительной гидродинамики OpenFOAM»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Рассчитать основные сечения конического сопла Лаваля, построить параметрическую геометрию и сетку в SALOME и получить решение сжимаемого газового течения в OpenFOAM.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Для заданных полных параметров воздуха, расхода и углов определяются размеры входа, горла и выхода. Затем создаются SALOME HDF/UNV, проверяется импортированная сетка и выполняется переходный расчёт, в котором дозвуковой поток ускоряется через критическое сечение.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26.04 - рабочая операционная система.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Python 3.14.4: аналитический расчёт </w:t>
      </w:r>
      <w:r>
        <w:rPr>
          <w:rFonts w:ascii="Courier New" w:hAnsi="Courier New" w:eastAsia="Courier New"/>
          <w:i w:val="0"/>
          <w:color w:val="000000"/>
          <w:sz w:val="26"/>
        </w:rPr>
        <w:t>calc_nozzle.py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SALOME 9.16.0: </w:t>
      </w:r>
      <w:r>
        <w:rPr>
          <w:rFonts w:ascii="Courier New" w:hAnsi="Courier New" w:eastAsia="Courier New"/>
          <w:i w:val="0"/>
          <w:color w:val="000000"/>
          <w:sz w:val="26"/>
        </w:rPr>
        <w:t>generate_salome.py</w:t>
      </w:r>
      <w:r>
        <w:rPr>
          <w:rFonts w:ascii="Times New Roman" w:hAnsi="Times New Roman" w:eastAsia="Times New Roman"/>
          <w:i w:val="0"/>
          <w:color w:val="000000"/>
          <w:sz w:val="28"/>
        </w:rPr>
        <w:t>, HDF/UNV, Hexahedron mesh и boundary groups.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Foundation 13: </w:t>
      </w:r>
      <w:r>
        <w:rPr>
          <w:rFonts w:ascii="Courier New" w:hAnsi="Courier New" w:eastAsia="Courier New"/>
          <w:i w:val="0"/>
          <w:color w:val="000000"/>
          <w:sz w:val="26"/>
        </w:rPr>
        <w:t>ideasUnvToFoam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solver module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ParaView 6.1.1: контроль полей давления, температуры, скорости и числа Маха.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Полное давление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p0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200000 Па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Полная температура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T0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1800 K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Расчётное выходное давление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pout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9000 Па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Массовый расход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1,5 кг/с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Угол сходящейся части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alpha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14°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Угол расходящейся части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beta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28°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Газовая постоянная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287 Дж/(кг·K)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Показатель адиабаты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gamma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1,4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Аналитический скрипт использует одномерные изоэнтропические соотношения. Подтверждённые значения из </w:t>
      </w:r>
      <w:r>
        <w:rPr>
          <w:rFonts w:ascii="Courier New" w:hAnsi="Courier New" w:eastAsia="Courier New"/>
          <w:i w:val="0"/>
          <w:color w:val="000000"/>
          <w:sz w:val="26"/>
        </w:rPr>
        <w:t>analytic.json</w:t>
      </w:r>
      <w:r>
        <w:rPr>
          <w:rFonts w:ascii="Times New Roman" w:hAnsi="Times New Roman" w:eastAsia="Times New Roman"/>
          <w:i w:val="0"/>
          <w:color w:val="000000"/>
          <w:sz w:val="28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Сечение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p, Па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T, K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U, м/с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Диаметр, мм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вход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199800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1799,486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32,149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0,03781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391,862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горло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105656,36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776,338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1,000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100,118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выход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9000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742,123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1457,832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2,6697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176,078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Длины сходящейся и расходящейся частей равны 1,188030 и 0,152328 м.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Сопло Лаваля состоит из сходящейся части, критического сечения и расходящейся части. Для идеального газа локальная скорость звука</w:t>
      </w:r>
    </w:p>
    <w:p>
      <w:pPr>
        <w:spacing w:before="120" w:after="120"/>
        <w:jc w:val="center"/>
      </w:pPr>
      <m:oMathPara>
        <m:oMath>
          <m:r>
            <m:rPr>
              <m:sty m:val="i"/>
            </m:rPr>
            <m:t>a = 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m:t>γRT</m:t>
              </m:r>
            </m:e>
          </m:rad>
          <m:r>
            <m:rPr>
              <m:sty m:val="i"/>
            </m:rPr>
            <m:t>,    M = </m:t>
          </m:r>
          <m:f>
            <m:num>
              <m:r>
                <m:rPr>
                  <m:sty m:val="i"/>
                </m:rPr>
                <m:t>|U|</m:t>
              </m:r>
            </m:num>
            <m:den>
              <m:r>
                <m:rPr>
                  <m:sty m:val="i"/>
                </m:rPr>
                <m:t>a</m:t>
              </m:r>
            </m:den>
          </m:f>
        </m:oMath>
      </m:oMathPara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скорость звука, м/с; </w:t>
      </w:r>
      <w:r>
        <w:rPr>
          <w:rFonts w:ascii="Courier New" w:hAnsi="Courier New" w:eastAsia="Courier New"/>
          <w:i w:val="0"/>
          <w:color w:val="000000"/>
          <w:sz w:val="26"/>
        </w:rPr>
        <w:t>gamma=1,4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показатель адиабаты; </w:t>
      </w:r>
      <w:r>
        <w:rPr>
          <w:rFonts w:ascii="Courier New" w:hAnsi="Courier New" w:eastAsia="Courier New"/>
          <w:i w:val="0"/>
          <w:color w:val="000000"/>
          <w:sz w:val="26"/>
        </w:rPr>
        <w:t>R=287 Дж/(кг·K)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температура, K; </w:t>
      </w:r>
      <w:r>
        <w:rPr>
          <w:rFonts w:ascii="Courier New" w:hAnsi="Courier New" w:eastAsia="Courier New"/>
          <w:i w:val="0"/>
          <w:color w:val="000000"/>
          <w:sz w:val="26"/>
        </w:rPr>
        <w:t>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число Маха. При </w:t>
      </w:r>
      <w:r>
        <w:rPr>
          <w:rFonts w:ascii="Courier New" w:hAnsi="Courier New" w:eastAsia="Courier New"/>
          <w:i w:val="0"/>
          <w:color w:val="000000"/>
          <w:sz w:val="26"/>
        </w:rPr>
        <w:t>M&lt;1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течение дозвуковое, при </w:t>
      </w:r>
      <w:r>
        <w:rPr>
          <w:rFonts w:ascii="Courier New" w:hAnsi="Courier New" w:eastAsia="Courier New"/>
          <w:i w:val="0"/>
          <w:color w:val="000000"/>
          <w:sz w:val="26"/>
        </w:rPr>
        <w:t>M=1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звуковое, при </w:t>
      </w:r>
      <w:r>
        <w:rPr>
          <w:rFonts w:ascii="Courier New" w:hAnsi="Courier New" w:eastAsia="Courier New"/>
          <w:i w:val="0"/>
          <w:color w:val="000000"/>
          <w:sz w:val="26"/>
        </w:rPr>
        <w:t>M&gt;1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сверхзвуковое.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 квазиизэнтропическом одномерном приближении площадь и число Маха связаны соотношением</w:t>
      </w:r>
    </w:p>
    <w:p>
      <w:pPr>
        <w:spacing w:before="120" w:after="120"/>
        <w:jc w:val="center"/>
      </w:pPr>
      <m:oMathPara>
        <m:oMath>
          <m:f>
            <m:num>
              <m:r>
                <m:rPr>
                  <m:sty m:val="i"/>
                </m:rPr>
                <m:t>A</m:t>
              </m:r>
            </m:num>
            <m:den>
              <m:r>
                <m:rPr>
                  <m:sty m:val="i"/>
                </m:rPr>
                <m:t>A*</m:t>
              </m:r>
            </m:den>
          </m:f>
          <m:r>
            <m:rPr>
              <m:sty m:val="i"/>
            </m:rPr>
            <m:t> = </m:t>
          </m:r>
          <m:f>
            <m:num>
              <m:r>
                <m:rPr>
                  <m:sty m:val="i"/>
                </m:rPr>
                <m:t>1</m:t>
              </m:r>
            </m:num>
            <m:den>
              <m:r>
                <m:rPr>
                  <m:sty m:val="i"/>
                </m:rPr>
                <m:t>M</m:t>
              </m:r>
            </m:den>
          </m:f>
          <m:sSup>
            <m:e>
              <m:r>
                <m:rPr>
                  <m:sty m:val="i"/>
                </m:rPr>
                <m:t>[</m:t>
              </m:r>
              <m:f>
                <m:num>
                  <m:r>
                    <m:rPr>
                      <m:sty m:val="i"/>
                    </m:rPr>
                    <m:t>2</m:t>
                  </m:r>
                </m:num>
                <m:den>
                  <m:r>
                    <m:rPr>
                      <m:sty m:val="i"/>
                    </m:rPr>
                    <m:t>γ+1</m:t>
                  </m:r>
                </m:den>
              </m:f>
              <m:r>
                <m:rPr>
                  <m:sty m:val="i"/>
                </m:rPr>
                <m:t>(1 + </m:t>
              </m:r>
              <m:f>
                <m:num>
                  <m:r>
                    <m:rPr>
                      <m:sty m:val="i"/>
                    </m:rPr>
                    <m:t>γ-1</m:t>
                  </m:r>
                </m:num>
                <m:den>
                  <m:r>
                    <m:rPr>
                      <m:sty m:val="i"/>
                    </m:rPr>
                    <m:t>2</m:t>
                  </m:r>
                </m:den>
              </m:f>
              <m:r>
                <m:rPr>
                  <m:sty m:val="i"/>
                </m:rPr>
                <m:t>M²)]</m:t>
              </m:r>
            </m:e>
            <m:sup>
              <m:f>
                <m:num>
                  <m:r>
                    <m:rPr>
                      <m:sty m:val="i"/>
                    </m:rPr>
                    <m:t>γ+1</m:t>
                  </m:r>
                </m:num>
                <m:den>
                  <m:r>
                    <m:rPr>
                      <m:sty m:val="i"/>
                    </m:rPr>
                    <m:t>2(γ-1)</m:t>
                  </m:r>
                </m:den>
              </m:f>
            </m:sup>
          </m:sSup>
        </m:oMath>
      </m:oMathPara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площадь сечения, а </w:t>
      </w:r>
      <w:r>
        <w:rPr>
          <w:rFonts w:ascii="Courier New" w:hAnsi="Courier New" w:eastAsia="Courier New"/>
          <w:i w:val="0"/>
          <w:color w:val="000000"/>
          <w:sz w:val="26"/>
        </w:rPr>
        <w:t>A*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критическая площадь при </w:t>
      </w:r>
      <w:r>
        <w:rPr>
          <w:rFonts w:ascii="Courier New" w:hAnsi="Courier New" w:eastAsia="Courier New"/>
          <w:i w:val="0"/>
          <w:color w:val="000000"/>
          <w:sz w:val="26"/>
        </w:rPr>
        <w:t>M=1</w:t>
      </w:r>
      <w:r>
        <w:rPr>
          <w:rFonts w:ascii="Times New Roman" w:hAnsi="Times New Roman" w:eastAsia="Times New Roman"/>
          <w:i w:val="0"/>
          <w:color w:val="000000"/>
          <w:sz w:val="28"/>
        </w:rPr>
        <w:t>. Для дозвукового потока сужение ускоряет газ; при достижении критического режима расход «запирается». После горла расширение способно дальше ускорять уже сверхзвуковой поток, одновременно снижая статические давление и температуру.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Аналитический скрипт применяет одномерные изоэнтропические зависимости. OpenFOAM-расчёт, напротив, является двумерным переходным численным решением и учитывает конечную сетку, начальную ступень давления и граничные условия. Поэтому аналитические и CFD-значения не обязаны совпадать точно.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Модель представляет верхнюю половину осевого сечения сопла, вытянутую по z на 4 мм. Координата горла x=0; вход расположен при x=-1,188030 м, выход при x=0,152328 м. По нижней границе задана ось симметрии.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SALOME-артефакты: </w:t>
      </w:r>
      <w:r>
        <w:rPr>
          <w:rFonts w:ascii="Courier New" w:hAnsi="Courier New" w:eastAsia="Courier New"/>
          <w:i w:val="0"/>
          <w:color w:val="000000"/>
          <w:sz w:val="26"/>
        </w:rPr>
        <w:t>fast_finish_2026/LR6/LR6-nozzle.hdf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Mesh.unv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generate_salome.py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создаёт два четырёхугольных участка, вытягивает их по толщине и использует Segment → Quadrangle → Hexahedron. Локальные разбиения: 120 по сходящейся части, 80 по расходящейся, 40 по радиусу, 1 по толщине. Получено 16482 узла и 8000 hex.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Группы SALOME и OpenFOAM: </w:t>
      </w:r>
      <w:r>
        <w:rPr>
          <w:rFonts w:ascii="Courier New" w:hAnsi="Courier New" w:eastAsia="Courier New"/>
          <w:i w:val="0"/>
          <w:color w:val="000000"/>
          <w:sz w:val="26"/>
        </w:rPr>
        <w:t>inlet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- 40 граней, </w:t>
      </w:r>
      <w:r>
        <w:rPr>
          <w:rFonts w:ascii="Courier New" w:hAnsi="Courier New" w:eastAsia="Courier New"/>
          <w:i w:val="0"/>
          <w:color w:val="000000"/>
          <w:sz w:val="26"/>
        </w:rPr>
        <w:t>outlet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- 40, </w:t>
      </w:r>
      <w:r>
        <w:rPr>
          <w:rFonts w:ascii="Courier New" w:hAnsi="Courier New" w:eastAsia="Courier New"/>
          <w:i w:val="0"/>
          <w:color w:val="000000"/>
          <w:sz w:val="26"/>
        </w:rPr>
        <w:t>axis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- 200,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- 200, </w:t>
      </w:r>
      <w:r>
        <w:rPr>
          <w:rFonts w:ascii="Courier New" w:hAnsi="Courier New" w:eastAsia="Courier New"/>
          <w:i w:val="0"/>
          <w:color w:val="000000"/>
          <w:sz w:val="26"/>
        </w:rPr>
        <w:t>frontAndBack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- 16000.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0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ome_nozzle_mesh_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Параметрическая сетка сопла Лаваля и группы граничных поверхностей в SALOME.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Импортированный </w:t>
      </w:r>
      <w:r>
        <w:rPr>
          <w:rFonts w:ascii="Courier New" w:hAnsi="Courier New" w:eastAsia="Courier New"/>
          <w:i w:val="0"/>
          <w:color w:val="000000"/>
          <w:sz w:val="26"/>
        </w:rPr>
        <w:t>Mesh.unv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отдельно проверен в </w:t>
      </w:r>
      <w:r>
        <w:rPr>
          <w:rFonts w:ascii="Courier New" w:hAnsi="Courier New" w:eastAsia="Courier New"/>
          <w:i w:val="0"/>
          <w:color w:val="000000"/>
          <w:sz w:val="26"/>
        </w:rPr>
        <w:t>salomeMeshCheck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8000 hex, max non-orthogonality 13,8336°, max skewness 0,269705,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Финальный CFD case </w:t>
      </w:r>
      <w:r>
        <w:rPr>
          <w:rFonts w:ascii="Courier New" w:hAnsi="Courier New" w:eastAsia="Courier New"/>
          <w:i w:val="0"/>
          <w:color w:val="000000"/>
          <w:sz w:val="26"/>
        </w:rPr>
        <w:t>nozzleShockFluidFresh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использует эквивалентную нативную двухблочную OpenFOAM-сетку с теми же 8000 hex и patches. Его собственный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max non-orthogonality 13,9226°, max skewness 0,619734,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 Поэтому не утверждается, что финальные поля рассчитаны непосредственно на UNV-import mesh: SALOME-сетка и final CFD mesh - два отдельно проверенных артефакта.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200000 Па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давление во входном резервуаре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1800 K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температура во входном резервуаре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скорость определяется решением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outlet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сверхзвуковой выход без переопределения исходящих характеристик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axis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symmetryPlane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ось симметрии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нулевая нормальная скорость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невязкая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адиабатическая невязкая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поля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двумерность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Значение 9000 Па не навязано на выходном patch. Оно используется в аналитике/геометрии и как начальное давление вне входного резервуара.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</w:t>
      </w:r>
      <w:r>
        <w:rPr>
          <w:rFonts w:ascii="Courier New" w:hAnsi="Courier New" w:eastAsia="Courier New"/>
          <w:i w:val="0"/>
          <w:color w:val="000000"/>
          <w:sz w:val="26"/>
        </w:rPr>
        <w:t>p=200000 Па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box </w:t>
      </w:r>
      <w:r>
        <w:rPr>
          <w:rFonts w:ascii="Courier New" w:hAnsi="Courier New" w:eastAsia="Courier New"/>
          <w:i w:val="0"/>
          <w:color w:val="000000"/>
          <w:sz w:val="26"/>
        </w:rPr>
        <w:t>(-2 -1 -1)</w:t>
      </w:r>
      <w:r>
        <w:rPr>
          <w:rFonts w:ascii="Times New Roman" w:hAnsi="Times New Roman" w:eastAsia="Times New Roman"/>
          <w:i w:val="0"/>
          <w:color w:val="000000"/>
          <w:sz w:val="28"/>
        </w:rPr>
        <w:t>-</w:t>
      </w:r>
      <w:r>
        <w:rPr>
          <w:rFonts w:ascii="Courier New" w:hAnsi="Courier New" w:eastAsia="Courier New"/>
          <w:i w:val="0"/>
          <w:color w:val="000000"/>
          <w:sz w:val="26"/>
        </w:rPr>
        <w:t>(0 1 1)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p=9000 Па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остальной области; </w:t>
      </w:r>
      <w:r>
        <w:rPr>
          <w:rFonts w:ascii="Courier New" w:hAnsi="Courier New" w:eastAsia="Courier New"/>
          <w:i w:val="0"/>
          <w:color w:val="000000"/>
          <w:sz w:val="26"/>
        </w:rPr>
        <w:t>T=1800 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изначально везде.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symmetryPlane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оси исключает нормальный поток и нормальные градиенты. </w:t>
      </w:r>
      <w:r>
        <w:rPr>
          <w:rFonts w:ascii="Courier New" w:hAnsi="Courier New" w:eastAsia="Courier New"/>
          <w:i w:val="0"/>
          <w:color w:val="000000"/>
          <w:sz w:val="26"/>
        </w:rPr>
        <w:t>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стенке также запрещает нормальную скорость, но не создаёт вязкого касательного торможения; это согласуется с </w:t>
      </w:r>
      <w:r>
        <w:rPr>
          <w:rFonts w:ascii="Courier New" w:hAnsi="Courier New" w:eastAsia="Courier New"/>
          <w:i w:val="0"/>
          <w:color w:val="000000"/>
          <w:sz w:val="26"/>
        </w:rPr>
        <w:t>mu=0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сверхзвуковом выходе не навязывает данным, уходящим из области, дополнительное фиксированное значение.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начальные и граничные поля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constant/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perfect gas,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ламинарным режимом, сетка </w:t>
      </w:r>
      <w:r>
        <w:rPr>
          <w:rFonts w:ascii="Courier New" w:hAnsi="Courier New" w:eastAsia="Courier New"/>
          <w:i w:val="0"/>
          <w:color w:val="000000"/>
          <w:sz w:val="26"/>
        </w:rPr>
        <w:t>polyMesh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system/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каталоге ЛР6 также находятся </w:t>
      </w:r>
      <w:r>
        <w:rPr>
          <w:rFonts w:ascii="Courier New" w:hAnsi="Courier New" w:eastAsia="Courier New"/>
          <w:i w:val="0"/>
          <w:color w:val="000000"/>
          <w:sz w:val="26"/>
        </w:rPr>
        <w:t>calc_nozzle.py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analytic.json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generate_salome.py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HDF и UNV. Они описывают аналитическую геометрию и SALOME-сетку; финальный CFD case </w:t>
      </w:r>
      <w:r>
        <w:rPr>
          <w:rFonts w:ascii="Courier New" w:hAnsi="Courier New" w:eastAsia="Courier New"/>
          <w:i w:val="0"/>
          <w:color w:val="000000"/>
          <w:sz w:val="26"/>
        </w:rPr>
        <w:t>nozzleShockFluidFresh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хранится отдельно, что исключает смешение происхождения сеток.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solver 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startFrom latestTime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endTime=0.015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deltaT=1e-6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adjustTimeStep=yes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maxCo=0.3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maxDeltaT=1e-6</w:t>
      </w:r>
      <w:r>
        <w:rPr>
          <w:rFonts w:ascii="Times New Roman" w:hAnsi="Times New Roman" w:eastAsia="Times New Roman"/>
          <w:i w:val="0"/>
          <w:color w:val="000000"/>
          <w:sz w:val="28"/>
        </w:rPr>
        <w:t>, запись через 0,0005 с.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hePsiThermo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perfect gas, </w:t>
      </w:r>
      <w:r>
        <w:rPr>
          <w:rFonts w:ascii="Courier New" w:hAnsi="Courier New" w:eastAsia="Courier New"/>
          <w:i w:val="0"/>
          <w:color w:val="000000"/>
          <w:sz w:val="26"/>
        </w:rPr>
        <w:t>sensibleInternalEnergy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молярная масса 28,9 кг/кмоль, </w:t>
      </w:r>
      <w:r>
        <w:rPr>
          <w:rFonts w:ascii="Courier New" w:hAnsi="Courier New" w:eastAsia="Courier New"/>
          <w:i w:val="0"/>
          <w:color w:val="000000"/>
          <w:sz w:val="26"/>
        </w:rPr>
        <w:t>Cp=1005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mu=0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Pr=0.7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>: laminar.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central-upwind flux </w:t>
      </w:r>
      <w:r>
        <w:rPr>
          <w:rFonts w:ascii="Courier New" w:hAnsi="Courier New" w:eastAsia="Courier New"/>
          <w:i w:val="0"/>
          <w:color w:val="000000"/>
          <w:sz w:val="26"/>
        </w:rPr>
        <w:t>Kurganov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реконструкция </w:t>
      </w:r>
      <w:r>
        <w:rPr>
          <w:rFonts w:ascii="Courier New" w:hAnsi="Courier New" w:eastAsia="Courier New"/>
          <w:i w:val="0"/>
          <w:color w:val="000000"/>
          <w:sz w:val="26"/>
        </w:rPr>
        <w:t>rho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van Leer,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van Leer V; Euler по времени.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diagonal для консервативных </w:t>
      </w:r>
      <w:r>
        <w:rPr>
          <w:rFonts w:ascii="Courier New" w:hAnsi="Courier New" w:eastAsia="Courier New"/>
          <w:i w:val="0"/>
          <w:color w:val="000000"/>
          <w:sz w:val="26"/>
        </w:rPr>
        <w:t>rho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rhoU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rhoE</w:t>
      </w:r>
      <w:r>
        <w:rPr>
          <w:rFonts w:ascii="Times New Roman" w:hAnsi="Times New Roman" w:eastAsia="Times New Roman"/>
          <w:i w:val="0"/>
          <w:color w:val="000000"/>
          <w:sz w:val="28"/>
        </w:rPr>
        <w:t>; два внешних PIMPLE-corrector.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переходный сжимаемый однофазный solver на основе shock-capturing центральной схемы. Он решает консервативные уравнения массы, импульса и полной энергии и подходит для сильных волн давления и трансзвукового/сверхзвукового течения. Вязкость в данном case равна нулю, поэтому постановка соответствует невязкому газу, а не RAS-модели.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Аналитический расчёт и SALOME-экспорт выполняются соответствующими проектными скриптами: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python3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python3 fast_finish_2026/LR6/calc_nozzle.py --p0 200000 --t0 1800 --pout 9000 --mass-flow 1.5 --alpha 14 --beta 28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Печатает рассчитанные параметры сечений и геометрии в JSON.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Команда /home/pavel/openfoam-lab/tools/SALOME-9.16.0/run_salome.sh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/home/pavel/openfoam-lab/tools/SALOME-9.16.0/run_salome.sh -t fast_finish_2026/LR6/generate_salome.py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Это воспроизводимая команда для существующего SALOME 9.16 launcher: параметр </w:t>
      </w:r>
      <w:r>
        <w:rPr>
          <w:rFonts w:ascii="Courier New" w:hAnsi="Courier New" w:eastAsia="Courier New"/>
          <w:i w:val="0"/>
          <w:color w:val="000000"/>
          <w:sz w:val="26"/>
        </w:rPr>
        <w:t>-t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включает терминальный режим, а позиционный Python-файл выполняется внутри SALOME. Скрипт не требует пользовательских аргументов, использует подтверждённые параметры ЛР6 и формирует </w:t>
      </w:r>
      <w:r>
        <w:rPr>
          <w:rFonts w:ascii="Courier New" w:hAnsi="Courier New" w:eastAsia="Courier New"/>
          <w:i w:val="0"/>
          <w:color w:val="000000"/>
          <w:sz w:val="26"/>
        </w:rPr>
        <w:t>LR6-nozzle.hdf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Mesh.unv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именованные группы. Команда документирует воспроизводимый интерфейс текущего скрипта и не выдаётся за дословную запись прежней shell-сессии.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Подтверждённая журналами OpenFOAM-последовательность: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3 - Команда ideasUnvToFoam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ideasUnvToFoam Mesh.unv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Импортирует SALOME-сетку для отдельной проверки.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4 - Команда checkMesh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checkMesh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Проверяет final CFD mesh; журнал содержит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5 - Команда setFields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setFields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Создаёт начальную ступень давления.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6 - Команда foamRun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foamRun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Запускает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Расчёт выполнен последовательно, без MPI, тремя продолжениями от </w:t>
      </w:r>
      <w:r>
        <w:rPr>
          <w:rFonts w:ascii="Courier New" w:hAnsi="Courier New" w:eastAsia="Courier New"/>
          <w:i w:val="0"/>
          <w:color w:val="000000"/>
          <w:sz w:val="26"/>
        </w:rPr>
        <w:t>latestTime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 0,015 с.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Журналы трёх последовательных участков заканчиваются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; wall-clock 496+617+335≈1448 с. Последний maxCo=0,29984.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Прямой разбор внутренних списков полей времени 0,015 дал: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Минимум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Максимум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p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19,3982 кПа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200,286 кПа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T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923,139 K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1800,76 K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|U|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98,523 м/с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1327,723 м/с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rho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0,0730395 кг/м³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0,386599 кг/м³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По осевому профилю давление и температура падают, скорость и M растут; за горлом поток становится сверхзвуковым. Конкретные сопоставления трёх сечений приведены в ЛР8.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2 - Распределение статического давления в финальном CFD-решении сопла.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3 - Распределение статической температуры в сопле.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4 - Распределение модуля скорости в сопле.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5 - Распределение числа Маха: переход от дозвукового к сверхзвуковому режиму.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Что будет с потоком воздуха в сопле Лаваля, если до критического сечения скорость не достигнет звуковой?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Сверхзвуковое расширение не сформируется: в расходящейся части оставшийся дозвуковым поток будет замедляться.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Геометрическое расширение ускоряет сверхзвуковую ветвь, но для дозвукового потока действует противоположно. Чтобы пройти через гладкое минимальное сечение с </w:t>
      </w:r>
      <w:r>
        <w:rPr>
          <w:rFonts w:ascii="Courier New" w:hAnsi="Courier New" w:eastAsia="Courier New"/>
          <w:i w:val="0"/>
          <w:color w:val="000000"/>
          <w:sz w:val="26"/>
        </w:rPr>
        <w:t>M=1</w:t>
      </w:r>
      <w:r>
        <w:rPr>
          <w:rFonts w:ascii="Times New Roman" w:hAnsi="Times New Roman" w:eastAsia="Times New Roman"/>
          <w:i w:val="0"/>
          <w:color w:val="000000"/>
          <w:sz w:val="28"/>
        </w:rPr>
        <w:t>, нужен достаточный перепад давлений и критический режим.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аналитический расчёт дал в горле </w:t>
      </w:r>
      <w:r>
        <w:rPr>
          <w:rFonts w:ascii="Courier New" w:hAnsi="Courier New" w:eastAsia="Courier New"/>
          <w:i w:val="0"/>
          <w:color w:val="000000"/>
          <w:sz w:val="26"/>
        </w:rPr>
        <w:t>M=1</w:t>
      </w:r>
      <w:r>
        <w:rPr>
          <w:rFonts w:ascii="Times New Roman" w:hAnsi="Times New Roman" w:eastAsia="Times New Roman"/>
          <w:i w:val="0"/>
          <w:color w:val="000000"/>
          <w:sz w:val="28"/>
        </w:rPr>
        <w:t>, а численная визуализация показывает сверхзвуковую область после горла.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Опишите порядок расчета профиля конического сопла Лаваля?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 полным параметрам и давлению определить M, T, p, скорость и плотность в характерных сечениях, затем из расхода найти площади/диаметры и из углов - длины конусов.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входа, критического сечения и выхода применяются изоэнтропические зависимости; площадь следует из </w:t>
      </w:r>
      <w:r>
        <w:rPr>
          <w:rFonts w:ascii="Courier New" w:hAnsi="Courier New" w:eastAsia="Courier New"/>
          <w:i w:val="0"/>
          <w:color w:val="000000"/>
          <w:sz w:val="26"/>
        </w:rPr>
        <w:t>G=rho U 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диаметр - из </w:t>
      </w:r>
      <w:r>
        <w:rPr>
          <w:rFonts w:ascii="Courier New" w:hAnsi="Courier New" w:eastAsia="Courier New"/>
          <w:i w:val="0"/>
          <w:color w:val="000000"/>
          <w:sz w:val="26"/>
        </w:rPr>
        <w:t>D=sqrt(4A/pi)</w:t>
      </w:r>
      <w:r>
        <w:rPr>
          <w:rFonts w:ascii="Times New Roman" w:hAnsi="Times New Roman" w:eastAsia="Times New Roman"/>
          <w:i w:val="0"/>
          <w:color w:val="000000"/>
          <w:sz w:val="28"/>
        </w:rPr>
        <w:t>, длины - из разности радиусов и тангенсов углов.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calc_nozzle.py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принимает </w:t>
      </w:r>
      <w:r>
        <w:rPr>
          <w:rFonts w:ascii="Courier New" w:hAnsi="Courier New" w:eastAsia="Courier New"/>
          <w:i w:val="0"/>
          <w:color w:val="000000"/>
          <w:sz w:val="26"/>
        </w:rPr>
        <w:t>p0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pout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расход, </w:t>
      </w:r>
      <w:r>
        <w:rPr>
          <w:rFonts w:ascii="Courier New" w:hAnsi="Courier New" w:eastAsia="Courier New"/>
          <w:i w:val="0"/>
          <w:color w:val="000000"/>
          <w:sz w:val="26"/>
        </w:rPr>
        <w:t>alpha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beta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gamma</w:t>
      </w:r>
      <w:r>
        <w:rPr>
          <w:rFonts w:ascii="Times New Roman" w:hAnsi="Times New Roman" w:eastAsia="Times New Roman"/>
          <w:i w:val="0"/>
          <w:color w:val="000000"/>
          <w:sz w:val="28"/>
        </w:rPr>
        <w:t>; подтверждённые диаметры горла и выхода равны 100,118 и 176,078 мм.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Опишите порядок построения конического сопла Лаваля?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Построить профиль по рассчитанным точкам входа, горла и выхода, сформировать две поверхности, вытянуть их по толщине и создать граничные группы.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Профиль строится по точкам характерных сечений, после чего поверхности объединяются, вытягиваются и получают граничные группы.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generate_salome.py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строит два четырёхугольника верхней половины сечения, вытягивает область на 4 мм и формирует </w:t>
      </w:r>
      <w:r>
        <w:rPr>
          <w:rFonts w:ascii="Courier New" w:hAnsi="Courier New" w:eastAsia="Courier New"/>
          <w:i w:val="0"/>
          <w:color w:val="000000"/>
          <w:sz w:val="26"/>
        </w:rPr>
        <w:t>inlet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outlet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axis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frontAndBack</w:t>
      </w:r>
      <w:r>
        <w:rPr>
          <w:rFonts w:ascii="Times New Roman" w:hAnsi="Times New Roman" w:eastAsia="Times New Roman"/>
          <w:i w:val="0"/>
          <w:color w:val="000000"/>
          <w:sz w:val="28"/>
        </w:rPr>
        <w:t>; результат сохранён в HDF и UNV.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Какие алгоритмы и гипотезы использовались при построении сетки?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Segment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/Wire Discretisation с </w:t>
      </w:r>
      <w:r>
        <w:rPr>
          <w:rFonts w:ascii="Courier New" w:hAnsi="Courier New" w:eastAsia="Courier New"/>
          <w:i w:val="0"/>
          <w:color w:val="000000"/>
          <w:sz w:val="26"/>
        </w:rPr>
        <w:t>Number of Segments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затем </w:t>
      </w:r>
      <w:r>
        <w:rPr>
          <w:rFonts w:ascii="Courier New" w:hAnsi="Courier New" w:eastAsia="Courier New"/>
          <w:i w:val="0"/>
          <w:color w:val="000000"/>
          <w:sz w:val="26"/>
        </w:rPr>
        <w:t>Quadrangle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гранях и </w:t>
      </w:r>
      <w:r>
        <w:rPr>
          <w:rFonts w:ascii="Courier New" w:hAnsi="Courier New" w:eastAsia="Courier New"/>
          <w:i w:val="0"/>
          <w:color w:val="000000"/>
          <w:sz w:val="26"/>
        </w:rPr>
        <w:t>Hexahedron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объёме.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Одномерная сегментация задаёт разбиение рёбер, </w:t>
      </w:r>
      <w:r>
        <w:rPr>
          <w:rFonts w:ascii="Courier New" w:hAnsi="Courier New" w:eastAsia="Courier New"/>
          <w:i w:val="0"/>
          <w:color w:val="000000"/>
          <w:sz w:val="26"/>
        </w:rPr>
        <w:t>Quadrangle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строит согласованную сетку граней, а </w:t>
      </w:r>
      <w:r>
        <w:rPr>
          <w:rFonts w:ascii="Courier New" w:hAnsi="Courier New" w:eastAsia="Courier New"/>
          <w:i w:val="0"/>
          <w:color w:val="000000"/>
          <w:sz w:val="26"/>
        </w:rPr>
        <w:t>Hexahedron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заполняет объём.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локально задано 120 сегментов по сходящейся части, 80 по расходящейся, 40 по радиусу и 1 по толщине; получено 16482 узла и 8000 hex.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Как построить сгущение сетки в Salome?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Назначить локальную одномерную гипотезу на выбранное ребро и использовать распределение сегментов с изменяющейся длиной, затем согласовать поверхностный и объёмный алгоритмы.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целевого ребра в </w:t>
      </w:r>
      <w:r>
        <w:rPr>
          <w:rFonts w:ascii="Courier New" w:hAnsi="Courier New" w:eastAsia="Courier New"/>
          <w:i w:val="0"/>
          <w:color w:val="000000"/>
          <w:sz w:val="26"/>
        </w:rPr>
        <w:t>Segment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можно вместо равномерного </w:t>
      </w:r>
      <w:r>
        <w:rPr>
          <w:rFonts w:ascii="Courier New" w:hAnsi="Courier New" w:eastAsia="Courier New"/>
          <w:i w:val="0"/>
          <w:color w:val="000000"/>
          <w:sz w:val="26"/>
        </w:rPr>
        <w:t>Number of Segments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выбрать гипотезу с прогрессией либо начальной и конечной длиной. Разбиения сопряжённых рёбер должны оставаться совместимыми для </w:t>
      </w:r>
      <w:r>
        <w:rPr>
          <w:rFonts w:ascii="Courier New" w:hAnsi="Courier New" w:eastAsia="Courier New"/>
          <w:i w:val="0"/>
          <w:color w:val="000000"/>
          <w:sz w:val="26"/>
        </w:rPr>
        <w:t>Quadrangle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Hexahedron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generate_salome.py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применены фиксированные количества сегментов, поэтому прогрессия в фактической сетке не заявляется.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Почему выходное давление 9000 Па не задано как </w:t>
      </w:r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>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Финальная постановка использует его при аналитическом подборе площади и как начальное состояние. На предполагаемом сверхзвуковом выходе все характеристики уходят из области, поэтому поля имеют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CFD и аналитика различаются?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Аналитика одномерна, стационарна и изоэнтропична. CFD представляет двумерный переходный процесс на конечной сетке и на времени 0,015 с; поэтому численная диффузия, неравномерность по сечению и незавершённая установившаяся перестройка дают расхождение.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Какая сетка использована для финальных полей?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Нативная двухблочная OpenFOAM-сетка </w:t>
      </w:r>
      <w:r>
        <w:rPr>
          <w:rFonts w:ascii="Courier New" w:hAnsi="Courier New" w:eastAsia="Courier New"/>
          <w:i w:val="0"/>
          <w:color w:val="000000"/>
          <w:sz w:val="26"/>
        </w:rPr>
        <w:t>nozzleShockFluidFresh</w:t>
      </w:r>
      <w:r>
        <w:rPr>
          <w:rFonts w:ascii="Times New Roman" w:hAnsi="Times New Roman" w:eastAsia="Times New Roman"/>
          <w:i w:val="0"/>
          <w:color w:val="000000"/>
          <w:sz w:val="28"/>
        </w:rPr>
        <w:t>, 8000 hex. SALOME UNV имеет то же число ячеек и отдельно проверена, но происхождение финального поля от UNV не подтверждено, поэтому эти артефакты в отчёте не смешиваются.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Аналитически рассчитана геометрия сопла, созданы и проверены SALOME- и OpenFOAM-варианты сетки, а последовательный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>-расчёт завершён до 0,015 с. Финальные поля подтверждены реальными time directories, сетка и группы SALOME - HDF/UNV, скриптом и сохранённым GUI-скриншотом. Для повторения документирована команда, соответствующая фактическому интерфейсу установленного launcher и существующего скрипта.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 Параметрическое построение сопла Лаваля в Salome для анализа течения газа с использованием инструментария вычислительной гидродинамики OpenFOAM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